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A" w:rsidRDefault="0078489A" w:rsidP="0078489A">
      <w:pPr>
        <w:spacing w:after="0" w:line="240" w:lineRule="auto"/>
        <w:jc w:val="center"/>
        <w:rPr>
          <w:rFonts w:ascii="PTSansRegular" w:eastAsia="Times New Roman" w:hAnsi="PTSansRegular" w:cs="Arial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78489A">
        <w:rPr>
          <w:rFonts w:ascii="PTSansRegular" w:eastAsia="Times New Roman" w:hAnsi="PTSansRegular" w:cs="Arial"/>
          <w:b/>
          <w:bCs/>
          <w:color w:val="000000" w:themeColor="text1"/>
          <w:spacing w:val="2"/>
          <w:sz w:val="28"/>
          <w:szCs w:val="28"/>
          <w:lang w:eastAsia="ru-RU"/>
        </w:rPr>
        <w:fldChar w:fldCharType="begin"/>
      </w:r>
      <w:r w:rsidRPr="0078489A">
        <w:rPr>
          <w:rFonts w:ascii="PTSansRegular" w:eastAsia="Times New Roman" w:hAnsi="PTSansRegular" w:cs="Arial"/>
          <w:b/>
          <w:bCs/>
          <w:color w:val="000000" w:themeColor="text1"/>
          <w:spacing w:val="2"/>
          <w:sz w:val="28"/>
          <w:szCs w:val="28"/>
          <w:lang w:eastAsia="ru-RU"/>
        </w:rPr>
        <w:instrText xml:space="preserve"> HYPERLINK "http://www.consultant.ru/document/cons_doc_LAW_223504/" </w:instrText>
      </w:r>
      <w:r w:rsidRPr="0078489A">
        <w:rPr>
          <w:rFonts w:ascii="PTSansRegular" w:eastAsia="Times New Roman" w:hAnsi="PTSansRegular" w:cs="Arial"/>
          <w:b/>
          <w:bCs/>
          <w:color w:val="000000" w:themeColor="text1"/>
          <w:spacing w:val="2"/>
          <w:sz w:val="28"/>
          <w:szCs w:val="28"/>
          <w:lang w:eastAsia="ru-RU"/>
        </w:rPr>
        <w:fldChar w:fldCharType="separate"/>
      </w:r>
      <w:r w:rsidRPr="0078489A">
        <w:rPr>
          <w:rFonts w:ascii="PTSansRegular" w:eastAsia="Times New Roman" w:hAnsi="PTSansRegular" w:cs="Arial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Постановление </w:t>
      </w:r>
      <w:r>
        <w:rPr>
          <w:rFonts w:ascii="PTSansRegular" w:eastAsia="Times New Roman" w:hAnsi="PTSansRegular" w:cs="Arial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Правительства РФ от 25.08.2017 № 999 </w:t>
      </w:r>
      <w:r>
        <w:rPr>
          <w:rFonts w:ascii="PTSansRegular" w:eastAsia="Times New Roman" w:hAnsi="PTSansRegular" w:cs="Arial" w:hint="eastAsia"/>
          <w:b/>
          <w:bCs/>
          <w:color w:val="000000" w:themeColor="text1"/>
          <w:spacing w:val="2"/>
          <w:sz w:val="28"/>
          <w:szCs w:val="28"/>
          <w:lang w:eastAsia="ru-RU"/>
        </w:rPr>
        <w:t>«</w:t>
      </w:r>
      <w:r w:rsidRPr="0078489A">
        <w:rPr>
          <w:rFonts w:ascii="PTSansRegular" w:eastAsia="Times New Roman" w:hAnsi="PTSansRegular" w:cs="Arial"/>
          <w:b/>
          <w:bCs/>
          <w:color w:val="000000" w:themeColor="text1"/>
          <w:spacing w:val="2"/>
          <w:sz w:val="28"/>
          <w:szCs w:val="28"/>
          <w:lang w:eastAsia="ru-RU"/>
        </w:rPr>
        <w:t>О внесении изменений в Правила подключения (технологического присоединения) объектов капитального строительства к сетям газораспределения</w:t>
      </w:r>
      <w:r>
        <w:rPr>
          <w:rFonts w:ascii="PTSansRegular" w:eastAsia="Times New Roman" w:hAnsi="PTSansRegular" w:cs="Arial" w:hint="eastAsia"/>
          <w:b/>
          <w:bCs/>
          <w:color w:val="000000" w:themeColor="text1"/>
          <w:spacing w:val="2"/>
          <w:sz w:val="28"/>
          <w:szCs w:val="28"/>
          <w:lang w:eastAsia="ru-RU"/>
        </w:rPr>
        <w:t>»</w:t>
      </w:r>
      <w:r w:rsidRPr="0078489A">
        <w:rPr>
          <w:rFonts w:ascii="PTSansRegular" w:eastAsia="Times New Roman" w:hAnsi="PTSansRegular" w:cs="Arial"/>
          <w:b/>
          <w:bCs/>
          <w:color w:val="000000" w:themeColor="text1"/>
          <w:spacing w:val="2"/>
          <w:sz w:val="28"/>
          <w:szCs w:val="28"/>
          <w:lang w:eastAsia="ru-RU"/>
        </w:rPr>
        <w:fldChar w:fldCharType="end"/>
      </w:r>
    </w:p>
    <w:p w:rsidR="0078489A" w:rsidRPr="00046510" w:rsidRDefault="0078489A" w:rsidP="0078489A">
      <w:pPr>
        <w:spacing w:after="0" w:line="240" w:lineRule="auto"/>
        <w:jc w:val="center"/>
        <w:rPr>
          <w:rFonts w:ascii="PTSansRegular" w:eastAsia="Times New Roman" w:hAnsi="PTSansRegular" w:cs="Arial"/>
          <w:color w:val="000000" w:themeColor="text1"/>
          <w:spacing w:val="2"/>
          <w:sz w:val="28"/>
          <w:szCs w:val="28"/>
          <w:lang w:eastAsia="ru-RU"/>
        </w:rPr>
      </w:pPr>
    </w:p>
    <w:p w:rsidR="0078489A" w:rsidRPr="00046510" w:rsidRDefault="0078489A" w:rsidP="0078489A">
      <w:pPr>
        <w:spacing w:after="0" w:line="240" w:lineRule="auto"/>
        <w:ind w:firstLine="709"/>
        <w:jc w:val="both"/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</w:pPr>
      <w:r w:rsidRPr="00046510"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  <w:t xml:space="preserve">В частности, устанавливается, что в случае изменения схемы газоснабжения подключенного объекта капитального строительства в границах земельного участка, на котором расположен объект, уведомление о предстоящем изменении схемы газоснабжения, с указанием характера предстоящих изменений, направляется не </w:t>
      </w:r>
      <w:proofErr w:type="gramStart"/>
      <w:r w:rsidRPr="00046510"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  <w:t>позднее</w:t>
      </w:r>
      <w:proofErr w:type="gramEnd"/>
      <w:r w:rsidRPr="00046510"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  <w:t xml:space="preserve"> чем за 10 рабочих дней до начала проведения работ. Данный порядок применяется, если изменение схемы газоснабжения не влечет изменение параметров ранее выданных технических условий и отсутствует необходимость фактического присоединения объекта капитального строительства.</w:t>
      </w:r>
    </w:p>
    <w:p w:rsidR="0078489A" w:rsidRPr="00046510" w:rsidRDefault="0078489A" w:rsidP="0078489A">
      <w:pPr>
        <w:spacing w:after="0" w:line="240" w:lineRule="auto"/>
        <w:ind w:firstLine="709"/>
        <w:jc w:val="both"/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</w:pPr>
      <w:r w:rsidRPr="00046510"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  <w:t>В случае замены (реконструкции) газоиспользующего оборудования, при которой его максимальный часовой расход не превышает параметров, указанных в выданных технических условиях, заявитель не позднее 10 рабочих дней до начала работ направляет исполнителю уведомление о предстоящей замене с указанием максимального часового расхода газа устанавливаемого газоиспользующего оборудования.</w:t>
      </w:r>
    </w:p>
    <w:p w:rsidR="0078489A" w:rsidRPr="00046510" w:rsidRDefault="0078489A" w:rsidP="0078489A">
      <w:pPr>
        <w:spacing w:after="0" w:line="240" w:lineRule="auto"/>
        <w:ind w:firstLine="709"/>
        <w:jc w:val="both"/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</w:pPr>
      <w:r w:rsidRPr="00046510"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  <w:t xml:space="preserve">Кроме того, вводится право заявителя </w:t>
      </w:r>
      <w:proofErr w:type="gramStart"/>
      <w:r w:rsidRPr="00046510"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  <w:t>обратиться к исполнителю с просьбой осуществить</w:t>
      </w:r>
      <w:proofErr w:type="gramEnd"/>
      <w:r w:rsidRPr="00046510"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  <w:t xml:space="preserve"> мероприятия по подключению (технологическому присоединению) в пределах границ земельного участка заявителя. </w:t>
      </w:r>
      <w:proofErr w:type="gramStart"/>
      <w:r w:rsidRPr="00046510">
        <w:rPr>
          <w:rFonts w:ascii="PTSansRegular" w:eastAsia="Times New Roman" w:hAnsi="PTSansRegular" w:cs="Arial"/>
          <w:color w:val="000000"/>
          <w:spacing w:val="2"/>
          <w:sz w:val="28"/>
          <w:szCs w:val="28"/>
          <w:lang w:eastAsia="ru-RU"/>
        </w:rPr>
        <w:t>Указанные мероприятия осуществляются исполнителем за плату, величина которой устанавливается органами исполнительной власти субъектов РФ в области государственного регулирования тарифов в порядке, установленном Правительством РФ,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утвержденными федеральным органом исполнительной власти в области регулирования тарифов.</w:t>
      </w:r>
      <w:proofErr w:type="gramEnd"/>
    </w:p>
    <w:p w:rsidR="000D0CEC" w:rsidRPr="0078489A" w:rsidRDefault="000D0CEC" w:rsidP="0078489A">
      <w:pPr>
        <w:spacing w:after="0" w:line="240" w:lineRule="auto"/>
        <w:jc w:val="both"/>
        <w:rPr>
          <w:sz w:val="28"/>
          <w:szCs w:val="28"/>
        </w:rPr>
      </w:pPr>
    </w:p>
    <w:sectPr w:rsidR="000D0CEC" w:rsidRPr="0078489A" w:rsidSect="000D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9A"/>
    <w:rsid w:val="000D0CEC"/>
    <w:rsid w:val="0078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2017-08-30T03:37:00Z</dcterms:created>
  <dcterms:modified xsi:type="dcterms:W3CDTF">2017-08-30T03:39:00Z</dcterms:modified>
</cp:coreProperties>
</file>