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3967A9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4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proofErr w:type="spellEnd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>для строительства многоквартирных домов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lastRenderedPageBreak/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медико-социальная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lastRenderedPageBreak/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взыскании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lastRenderedPageBreak/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документы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lastRenderedPageBreak/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граждане, чьи денежные средства привлечены для строительства многоквартирных домов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4"/>
        <w:gridCol w:w="3827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3967A9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r w:rsidR="00726897" w:rsidRPr="0062394F">
              <w:rPr>
                <w:sz w:val="32"/>
                <w:szCs w:val="32"/>
              </w:rPr>
              <w:t>Краснокамский, Нытвенский</w:t>
            </w:r>
            <w:r w:rsidR="003967A9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r w:rsidR="00596D79" w:rsidRPr="0062394F">
              <w:rPr>
                <w:sz w:val="32"/>
                <w:szCs w:val="32"/>
              </w:rPr>
              <w:t>Добрянский,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Губаха,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>Гремячинский, Кизеловский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Губаха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r w:rsidR="00726897" w:rsidRPr="0062394F">
              <w:rPr>
                <w:sz w:val="32"/>
                <w:szCs w:val="32"/>
              </w:rPr>
              <w:t>Горнозаводский</w:t>
            </w:r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 В</w:t>
            </w:r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Большесосновский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Верещагинский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Карагайский, </w:t>
            </w:r>
            <w:proofErr w:type="spellStart"/>
            <w:r w:rsidR="002B224C" w:rsidRPr="0062394F">
              <w:rPr>
                <w:sz w:val="32"/>
                <w:szCs w:val="32"/>
              </w:rPr>
              <w:t>Оханский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Очерский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Сивинский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Частинский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г.Кунгур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596D79" w:rsidRPr="0062394F">
              <w:rPr>
                <w:sz w:val="32"/>
                <w:szCs w:val="32"/>
              </w:rPr>
              <w:t xml:space="preserve">Березовский, </w:t>
            </w:r>
            <w:proofErr w:type="spellStart"/>
            <w:r w:rsidR="00596D79" w:rsidRPr="0062394F">
              <w:rPr>
                <w:sz w:val="32"/>
                <w:szCs w:val="32"/>
              </w:rPr>
              <w:t>Кишертский</w:t>
            </w:r>
            <w:proofErr w:type="spellEnd"/>
            <w:r w:rsidR="00596D79" w:rsidRPr="0062394F">
              <w:rPr>
                <w:sz w:val="32"/>
                <w:szCs w:val="32"/>
              </w:rPr>
              <w:t xml:space="preserve">, </w:t>
            </w:r>
            <w:r w:rsidRPr="0062394F">
              <w:rPr>
                <w:sz w:val="32"/>
                <w:szCs w:val="32"/>
              </w:rPr>
              <w:t xml:space="preserve">Кунгурский, </w:t>
            </w:r>
            <w:proofErr w:type="spellStart"/>
            <w:r w:rsidRPr="0062394F">
              <w:rPr>
                <w:sz w:val="32"/>
                <w:szCs w:val="32"/>
              </w:rPr>
              <w:t>Ординский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Суксунский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Уинский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Бардымский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Еловский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Куединский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Октябрьский, </w:t>
            </w:r>
            <w:proofErr w:type="spellStart"/>
            <w:r w:rsidRPr="0062394F">
              <w:rPr>
                <w:sz w:val="32"/>
                <w:szCs w:val="32"/>
              </w:rPr>
              <w:t>Осинский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Чайковский, </w:t>
            </w:r>
            <w:proofErr w:type="spellStart"/>
            <w:r w:rsidRPr="0062394F">
              <w:rPr>
                <w:sz w:val="32"/>
                <w:szCs w:val="32"/>
              </w:rPr>
              <w:t>Чернушинский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г.Березники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г.Соликамск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Красновишерский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2B224C" w:rsidRPr="0062394F">
              <w:rPr>
                <w:sz w:val="32"/>
                <w:szCs w:val="32"/>
              </w:rPr>
              <w:t xml:space="preserve">Соликамский, </w:t>
            </w:r>
            <w:proofErr w:type="spellStart"/>
            <w:r w:rsidR="002B224C" w:rsidRPr="0062394F">
              <w:rPr>
                <w:sz w:val="32"/>
                <w:szCs w:val="32"/>
              </w:rPr>
              <w:t>Усольский</w:t>
            </w:r>
            <w:proofErr w:type="spellEnd"/>
            <w:r w:rsidR="002B224C" w:rsidRPr="0062394F">
              <w:rPr>
                <w:sz w:val="32"/>
                <w:szCs w:val="32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Pr="0062394F">
              <w:rPr>
                <w:sz w:val="32"/>
                <w:szCs w:val="32"/>
              </w:rPr>
              <w:t>, 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proofErr w:type="spellEnd"/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162415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67A9"/>
    <w:rsid w:val="00397FF1"/>
    <w:rsid w:val="00413A08"/>
    <w:rsid w:val="004374D4"/>
    <w:rsid w:val="00463391"/>
    <w:rsid w:val="00492516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2017-05-29T04:58:00Z</cp:lastPrinted>
  <dcterms:created xsi:type="dcterms:W3CDTF">2017-05-29T05:07:00Z</dcterms:created>
  <dcterms:modified xsi:type="dcterms:W3CDTF">2017-06-06T06:37:00Z</dcterms:modified>
</cp:coreProperties>
</file>