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Segoe UI" w:hAnsi="Segoe UI" w:cs="Segoe UI"/>
          <w:b/>
          <w:b/>
          <w:sz w:val="32"/>
          <w:szCs w:val="32"/>
          <w:lang w:val="ru-RU" w:eastAsia="ru-RU"/>
        </w:rPr>
      </w:pPr>
      <w:r>
        <w:rPr/>
        <w:drawing>
          <wp:inline distT="0" distB="0" distL="0" distR="0">
            <wp:extent cx="3174365" cy="125095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3048000</wp:posOffset>
                </wp:positionH>
                <wp:positionV relativeFrom="page">
                  <wp:posOffset>5080</wp:posOffset>
                </wp:positionV>
                <wp:extent cx="278765" cy="1974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8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40pt;margin-top:0.4pt;width:21.85pt;height:15.4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ascii="Segoe UI" w:hAnsi="Segoe UI" w:cs="Times New Roman"/>
          <w:b/>
          <w:b/>
          <w:bCs/>
          <w:color w:val="333333"/>
          <w:sz w:val="32"/>
          <w:szCs w:val="32"/>
          <w:highlight w:val="white"/>
        </w:rPr>
      </w:pPr>
      <w:r>
        <w:rPr>
          <w:rFonts w:cs="Segoe UI" w:ascii="Segoe UI" w:hAnsi="Segoe UI"/>
          <w:b/>
          <w:sz w:val="32"/>
          <w:szCs w:val="32"/>
          <w:lang w:val="ru-RU" w:eastAsia="ru-RU"/>
        </w:rPr>
        <w:t>ПРЕСС-РЕЛИЗ</w:t>
      </w:r>
    </w:p>
    <w:p>
      <w:pPr>
        <w:pStyle w:val="Normal"/>
        <w:spacing w:lineRule="auto" w:line="240" w:before="0" w:after="0"/>
        <w:jc w:val="right"/>
        <w:rPr>
          <w:rFonts w:ascii="Segoe UI" w:hAnsi="Segoe UI" w:cs="Times New Roman"/>
          <w:b/>
          <w:b/>
          <w:bCs/>
          <w:color w:val="333333"/>
          <w:sz w:val="32"/>
          <w:szCs w:val="32"/>
          <w:highlight w:val="white"/>
        </w:rPr>
      </w:pPr>
      <w:r>
        <w:rPr>
          <w:rFonts w:cs="Times New Roman" w:ascii="Segoe UI" w:hAnsi="Segoe UI"/>
          <w:b/>
          <w:bCs/>
          <w:color w:val="333333"/>
          <w:sz w:val="32"/>
          <w:szCs w:val="32"/>
          <w:highlight w:val="white"/>
        </w:rPr>
      </w:r>
    </w:p>
    <w:p>
      <w:pPr>
        <w:pStyle w:val="Normal"/>
        <w:jc w:val="center"/>
        <w:rPr>
          <w:rFonts w:ascii="Segoe UI" w:hAnsi="Segoe UI" w:eastAsia="Times New Roman" w:cs="Times New Roman"/>
          <w:sz w:val="24"/>
          <w:szCs w:val="24"/>
        </w:rPr>
      </w:pPr>
      <w:r>
        <w:rPr>
          <w:rFonts w:cs="Times New Roman" w:ascii="Segoe UI" w:hAnsi="Segoe UI"/>
          <w:b/>
          <w:bCs/>
          <w:color w:val="333333"/>
          <w:sz w:val="32"/>
          <w:szCs w:val="32"/>
          <w:highlight w:val="white"/>
        </w:rPr>
        <w:t xml:space="preserve">Описание границ охранных зон стало обязательным для ввода в эксплуатацию отдельных видов объектов недвижимости </w:t>
      </w:r>
    </w:p>
    <w:p>
      <w:pPr>
        <w:pStyle w:val="Normal"/>
        <w:spacing w:before="0" w:after="0"/>
        <w:jc w:val="both"/>
        <w:rPr>
          <w:rFonts w:ascii="Segoe UI" w:hAnsi="Segoe UI" w:cs="Times New Roman"/>
          <w:color w:val="333333"/>
          <w:sz w:val="24"/>
          <w:szCs w:val="24"/>
          <w:highlight w:val="white"/>
        </w:rPr>
      </w:pPr>
      <w:r>
        <w:rPr>
          <w:rFonts w:eastAsia="Times New Roman" w:cs="Times New Roman" w:ascii="Segoe UI" w:hAnsi="Segoe UI"/>
          <w:sz w:val="24"/>
          <w:szCs w:val="24"/>
        </w:rPr>
        <w:t xml:space="preserve"> </w:t>
      </w:r>
      <w:r>
        <w:rPr>
          <w:rFonts w:eastAsia="Times New Roman" w:cs="Times New Roman" w:ascii="Segoe UI" w:hAnsi="Segoe UI"/>
          <w:color w:val="333333"/>
          <w:sz w:val="24"/>
          <w:szCs w:val="24"/>
        </w:rPr>
        <w:t xml:space="preserve">    </w:t>
      </w:r>
      <w:r>
        <w:rPr>
          <w:rFonts w:cs="Times New Roman" w:ascii="Segoe UI" w:hAnsi="Segoe UI"/>
          <w:color w:val="333333"/>
          <w:sz w:val="24"/>
          <w:szCs w:val="24"/>
        </w:rPr>
        <w:t>С 2018 года в соответствии со статьёй 55 Градостроительного кодекса России для ввода в эксплуатацию объ</w:t>
      </w:r>
      <w:r>
        <w:rPr>
          <w:rFonts w:cs="Times New Roman" w:ascii="Segoe UI" w:hAnsi="Segoe UI"/>
          <w:color w:val="333333"/>
          <w:sz w:val="24"/>
          <w:szCs w:val="24"/>
          <w:highlight w:val="white"/>
        </w:rPr>
        <w:t xml:space="preserve">ектов капитального строительства, </w:t>
      </w:r>
      <w:r>
        <w:rPr>
          <w:rFonts w:cs="Times New Roman" w:ascii="Segoe UI" w:hAnsi="Segoe UI"/>
          <w:color w:val="333333"/>
          <w:sz w:val="24"/>
          <w:szCs w:val="24"/>
        </w:rPr>
        <w:t xml:space="preserve">подразумевающих наличие охранной зоны, стало обязательным наличие описания местоположения границ </w:t>
      </w:r>
      <w:r>
        <w:rPr>
          <w:rFonts w:cs="Times New Roman" w:ascii="Segoe UI" w:hAnsi="Segoe UI"/>
          <w:color w:val="333333"/>
          <w:sz w:val="24"/>
          <w:szCs w:val="24"/>
          <w:highlight w:val="white"/>
        </w:rPr>
        <w:t>охранных зон в текстовом и графическом виде.</w:t>
      </w:r>
    </w:p>
    <w:p>
      <w:pPr>
        <w:pStyle w:val="Normal"/>
        <w:spacing w:before="0" w:after="0"/>
        <w:ind w:firstLine="397"/>
        <w:jc w:val="both"/>
        <w:rPr>
          <w:rFonts w:ascii="Segoe UI" w:hAnsi="Segoe UI" w:cs="Times New Roman"/>
          <w:color w:val="333333"/>
          <w:sz w:val="24"/>
          <w:szCs w:val="24"/>
          <w:highlight w:val="white"/>
        </w:rPr>
      </w:pPr>
      <w:r>
        <w:rPr>
          <w:rFonts w:cs="Times New Roman" w:ascii="Segoe UI" w:hAnsi="Segoe UI"/>
          <w:color w:val="333333"/>
          <w:sz w:val="24"/>
          <w:szCs w:val="24"/>
          <w:highlight w:val="white"/>
        </w:rPr>
        <w:t xml:space="preserve">Перечень </w:t>
      </w:r>
      <w:r>
        <w:rPr>
          <w:rFonts w:cs="Times New Roman" w:ascii="Segoe UI" w:hAnsi="Segoe UI"/>
          <w:color w:val="333333"/>
          <w:sz w:val="24"/>
          <w:szCs w:val="24"/>
          <w:shd w:fill="FFFFFF" w:val="clear"/>
        </w:rPr>
        <w:t>объ</w:t>
      </w:r>
      <w:r>
        <w:rPr>
          <w:rFonts w:cs="Times New Roman" w:ascii="Segoe UI" w:hAnsi="Segoe UI"/>
          <w:color w:val="333333"/>
          <w:sz w:val="24"/>
          <w:szCs w:val="24"/>
          <w:highlight w:val="white"/>
        </w:rPr>
        <w:t xml:space="preserve">ектов недвижимости, требующих </w:t>
      </w:r>
      <w:r>
        <w:rPr>
          <w:rFonts w:cs="Times New Roman" w:ascii="Segoe UI" w:hAnsi="Segoe UI"/>
          <w:color w:val="333333"/>
          <w:sz w:val="24"/>
          <w:szCs w:val="24"/>
          <w:shd w:fill="FFFFFF" w:val="clear"/>
        </w:rPr>
        <w:t>установление охранных зон,</w:t>
      </w:r>
      <w:r>
        <w:rPr>
          <w:rFonts w:cs="Times New Roman" w:ascii="Segoe UI" w:hAnsi="Segoe UI"/>
          <w:color w:val="333333"/>
          <w:sz w:val="24"/>
          <w:szCs w:val="24"/>
          <w:highlight w:val="white"/>
        </w:rPr>
        <w:t xml:space="preserve"> включает </w:t>
      </w:r>
      <w:r>
        <w:rPr>
          <w:rFonts w:cs="Times New Roman" w:ascii="Segoe UI" w:hAnsi="Segoe UI"/>
          <w:color w:val="333333"/>
          <w:sz w:val="24"/>
          <w:szCs w:val="24"/>
          <w:shd w:fill="FFFFFF" w:val="clear"/>
        </w:rPr>
        <w:t>объекты электроэнергетики, системы газоснабжения, транспортной инфраструктуры, трубопроводного транспорта,  связи и других объектов.</w:t>
      </w:r>
    </w:p>
    <w:p>
      <w:pPr>
        <w:pStyle w:val="Normal"/>
        <w:spacing w:before="0" w:after="0"/>
        <w:ind w:firstLine="397"/>
        <w:jc w:val="both"/>
        <w:rPr>
          <w:rFonts w:ascii="Segoe UI" w:hAnsi="Segoe UI" w:cs="Times New Roman"/>
          <w:color w:val="333333"/>
          <w:sz w:val="24"/>
          <w:szCs w:val="24"/>
          <w:highlight w:val="white"/>
        </w:rPr>
      </w:pPr>
      <w:r>
        <w:rPr>
          <w:rFonts w:cs="Times New Roman" w:ascii="Segoe UI" w:hAnsi="Segoe UI"/>
          <w:color w:val="333333"/>
          <w:sz w:val="24"/>
          <w:szCs w:val="24"/>
          <w:highlight w:val="white"/>
        </w:rPr>
        <w:t>Местоположение границ охранных зон таких объектов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разрешение на ввод объекта в эксплуатацию выдаётся указанными органами.</w:t>
      </w:r>
    </w:p>
    <w:p>
      <w:pPr>
        <w:pStyle w:val="Normal"/>
        <w:spacing w:before="0" w:after="0"/>
        <w:ind w:firstLine="397"/>
        <w:jc w:val="both"/>
        <w:rPr/>
      </w:pPr>
      <w:r>
        <w:rPr>
          <w:rFonts w:cs="Times New Roman" w:ascii="Segoe UI" w:hAnsi="Segoe UI"/>
          <w:color w:val="333333"/>
          <w:sz w:val="24"/>
          <w:szCs w:val="24"/>
          <w:highlight w:val="white"/>
        </w:rPr>
        <w:t>В случае, если в процессе реконструкции объекта капитального строительства границы охранной зоны не изменилис</w:t>
      </w:r>
      <w:r>
        <w:rPr>
          <w:rFonts w:cs="Times New Roman" w:ascii="Segoe UI" w:hAnsi="Segoe UI"/>
          <w:color w:val="000000"/>
          <w:sz w:val="24"/>
          <w:szCs w:val="24"/>
          <w:highlight w:val="white"/>
        </w:rPr>
        <w:t xml:space="preserve">ь, </w:t>
      </w:r>
      <w:r>
        <w:rPr>
          <w:rFonts w:eastAsia="Arial Unicode MS" w:cs="Times New Roman" w:ascii="Segoe UI" w:hAnsi="Segoe UI"/>
          <w:color w:val="333333"/>
          <w:w w:val="104"/>
          <w:sz w:val="24"/>
          <w:szCs w:val="24"/>
          <w:highlight w:val="white"/>
          <w:u w:val="none"/>
          <w:shd w:fill="FFFFFF" w:val="clear"/>
          <w:lang w:eastAsia="ru-RU" w:bidi="hi-IN"/>
        </w:rPr>
        <w:t>приложением к разрешению на ввод в эксплуатацию такого объекта будет текстовое и графическое описание охранной зоны, разрешение на ввод будет одновременно являться и решением об установлении охранной зоны в соответствующих границах.</w:t>
      </w:r>
    </w:p>
    <w:p>
      <w:pPr>
        <w:pStyle w:val="Normal"/>
        <w:spacing w:before="0" w:after="0"/>
        <w:ind w:firstLine="39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22225</wp:posOffset>
                </wp:positionH>
                <wp:positionV relativeFrom="paragraph">
                  <wp:posOffset>175895</wp:posOffset>
                </wp:positionV>
                <wp:extent cx="6461125" cy="19685"/>
                <wp:effectExtent l="0" t="0" r="0" b="0"/>
                <wp:wrapNone/>
                <wp:docPr id="4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560" cy="1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22225</wp:posOffset>
                </wp:positionH>
                <wp:positionV relativeFrom="paragraph">
                  <wp:posOffset>175895</wp:posOffset>
                </wp:positionV>
                <wp:extent cx="6461125" cy="18415"/>
                <wp:effectExtent l="0" t="0" r="0" b="0"/>
                <wp:wrapNone/>
                <wp:docPr id="5" name="Прямая со стрелкой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460920" cy="18000"/>
                        </a:xfrm>
                        <a:prstGeom prst="straightConnector1">
                          <a:avLst/>
                        </a:prstGeom>
                        <a:ln w="15840">
                          <a:solidFill>
                            <a:srgbClr val="0070c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1.75pt;margin-top:13.85pt;width:508.7pt;height:1.35pt" type="shapetype_32">
                <v:stroke color="#0070c0" weight="1584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uppressAutoHyphens w:val="true"/>
        <w:spacing w:before="0" w:after="0"/>
        <w:ind w:left="72" w:hanging="0"/>
        <w:jc w:val="both"/>
        <w:rPr>
          <w:rFonts w:ascii="Segoe UI" w:hAnsi="Segoe UI" w:eastAsia="Arial Unicode MS" w:cs="Segoe UI"/>
          <w:color w:val="00000A"/>
          <w:w w:val="104"/>
          <w:sz w:val="24"/>
          <w:szCs w:val="24"/>
          <w:highlight w:val="white"/>
          <w:u w:val="none"/>
          <w:lang w:eastAsia="ru-RU" w:bidi="hi-IN"/>
        </w:rPr>
      </w:pPr>
      <w:r>
        <w:rPr>
          <w:rFonts w:cs="Segoe UI" w:ascii="Segoe UI" w:hAnsi="Segoe UI"/>
          <w:b/>
        </w:rPr>
        <w:tab/>
        <w:t>О Кадастровой палате по Пермскому краю</w:t>
      </w:r>
    </w:p>
    <w:p>
      <w:pPr>
        <w:pStyle w:val="Normal"/>
        <w:spacing w:lineRule="auto" w:line="240"/>
        <w:jc w:val="both"/>
        <w:rPr/>
      </w:pPr>
      <w:r>
        <w:rPr>
          <w:rFonts w:eastAsia="Arial Unicode MS" w:cs="Segoe UI" w:ascii="Segoe UI" w:hAnsi="Segoe UI"/>
          <w:color w:val="00000A"/>
          <w:w w:val="104"/>
          <w:sz w:val="24"/>
          <w:szCs w:val="24"/>
          <w:highlight w:val="white"/>
          <w:u w:val="none"/>
          <w:shd w:fill="FFFFFF" w:val="clear"/>
          <w:lang w:eastAsia="ru-RU" w:bidi="hi-IN"/>
        </w:rPr>
        <w:t xml:space="preserve">Филиал ФГБУ «ФКП Росреестра» по Пермскому краю (Кадастровая палата) осуществляет функции по </w:t>
      </w:r>
      <w:r>
        <w:rPr>
          <w:rFonts w:eastAsia="Arial Unicode MS" w:cs="Segoe UI" w:ascii="Segoe UI" w:hAnsi="Segoe UI"/>
          <w:color w:val="00000A"/>
          <w:w w:val="104"/>
          <w:sz w:val="24"/>
          <w:szCs w:val="24"/>
          <w:highlight w:val="white"/>
          <w:u w:val="none"/>
          <w:shd w:fill="FFFFFF" w:val="clear"/>
          <w:lang w:eastAsia="ru-RU" w:bidi="hi-IN"/>
        </w:rPr>
        <w:t xml:space="preserve">подготовке документов, </w:t>
      </w:r>
      <w:r>
        <w:rPr>
          <w:rFonts w:eastAsia="Arial Unicode MS" w:cs="Segoe UI" w:ascii="Segoe UI" w:hAnsi="Segoe UI"/>
          <w:color w:val="00000A"/>
          <w:w w:val="104"/>
          <w:sz w:val="24"/>
          <w:szCs w:val="24"/>
          <w:highlight w:val="white"/>
          <w:u w:val="none"/>
          <w:shd w:fill="FFFFFF" w:val="clear"/>
          <w:lang w:eastAsia="ru-RU" w:bidi="hi-IN"/>
        </w:rPr>
        <w:t xml:space="preserve">содержащих описание границ зон с особыми условиями использования территорий, </w:t>
      </w:r>
      <w:r>
        <w:rPr>
          <w:rFonts w:eastAsia="Arial Unicode MS" w:cs="Segoe UI" w:ascii="Segoe UI" w:hAnsi="Segoe UI"/>
          <w:color w:val="00000A"/>
          <w:w w:val="104"/>
          <w:sz w:val="24"/>
          <w:szCs w:val="24"/>
          <w:highlight w:val="white"/>
          <w:u w:val="none"/>
          <w:shd w:fill="FFFFFF" w:val="clear"/>
          <w:lang w:eastAsia="ru-RU" w:bidi="hi-IN"/>
        </w:rPr>
        <w:t>приёму документов на государственный кадастровый учёт и (или) государственную регистрацию прав в других регионах Российской Федерации (по экстерриториальному принципу), подготовке договоров купли-продажи, аренды, дарения, мены, соглашений (кроме нотариальных), оказанию консультационных услуг по вопросам кадастрового учёта недвижимости, в</w:t>
      </w:r>
      <w:r>
        <w:rPr>
          <w:rFonts w:eastAsia="Arial Unicode MS" w:cs="Segoe UI" w:ascii="Segoe UI" w:hAnsi="Segoe UI"/>
          <w:iCs/>
          <w:color w:val="00000A"/>
          <w:w w:val="104"/>
          <w:sz w:val="24"/>
          <w:szCs w:val="24"/>
          <w:highlight w:val="white"/>
          <w:u w:val="none"/>
          <w:shd w:fill="FFFFFF" w:val="clear"/>
          <w:lang w:eastAsia="ru-RU" w:bidi="hi-IN"/>
        </w:rPr>
        <w:t>ыдаче квалифицированных сертификатов электронно-цифровой подписи, осуществлению землеустроительных и кадастровых работ.</w:t>
      </w:r>
    </w:p>
    <w:p>
      <w:pPr>
        <w:pStyle w:val="Normal"/>
        <w:jc w:val="both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b/>
          <w:lang w:val="ru-RU" w:eastAsia="ru-RU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18"/>
          <w:szCs w:val="18"/>
        </w:rPr>
      </w:pPr>
      <w:r>
        <w:rPr>
          <w:rFonts w:eastAsia="Calibri" w:cs="Segoe UI" w:ascii="Segoe UI" w:hAnsi="Segoe UI"/>
          <w:sz w:val="18"/>
          <w:szCs w:val="18"/>
        </w:rPr>
        <w:t xml:space="preserve">Пресс-служба филиала </w:t>
      </w:r>
    </w:p>
    <w:p>
      <w:pPr>
        <w:pStyle w:val="NormalWeb"/>
        <w:spacing w:before="0" w:after="0"/>
        <w:rPr>
          <w:rFonts w:ascii="Segoe UI" w:hAnsi="Segoe UI" w:eastAsia="Calibri" w:cs="Segoe UI"/>
          <w:sz w:val="18"/>
          <w:szCs w:val="18"/>
        </w:rPr>
      </w:pPr>
      <w:r>
        <w:rPr>
          <w:rFonts w:eastAsia="Calibri" w:cs="Segoe UI" w:ascii="Segoe UI" w:hAnsi="Segoe UI"/>
          <w:sz w:val="18"/>
          <w:szCs w:val="18"/>
        </w:rPr>
        <w:t xml:space="preserve">ФГБУ «ФКП Росреестра» </w:t>
      </w:r>
    </w:p>
    <w:p>
      <w:pPr>
        <w:pStyle w:val="NormalWeb"/>
        <w:spacing w:before="0" w:after="0"/>
        <w:rPr>
          <w:rFonts w:ascii="Segoe UI" w:hAnsi="Segoe UI" w:eastAsia="Segoe UI" w:cs="Segoe UI"/>
          <w:sz w:val="18"/>
          <w:szCs w:val="18"/>
        </w:rPr>
      </w:pPr>
      <w:r>
        <w:rPr>
          <w:rFonts w:eastAsia="Calibri" w:cs="Segoe UI" w:ascii="Segoe UI" w:hAnsi="Segoe UI"/>
          <w:sz w:val="18"/>
          <w:szCs w:val="18"/>
        </w:rPr>
        <w:t>по Пермскому краю</w:t>
      </w:r>
    </w:p>
    <w:p>
      <w:pPr>
        <w:pStyle w:val="NormalWeb"/>
        <w:spacing w:before="0" w:after="0"/>
        <w:rPr/>
      </w:pPr>
      <w:r>
        <w:rPr>
          <w:rFonts w:eastAsia="Segoe UI" w:cs="Segoe UI" w:ascii="Segoe UI" w:hAnsi="Segoe UI"/>
          <w:sz w:val="18"/>
          <w:szCs w:val="18"/>
        </w:rPr>
        <w:t xml:space="preserve"> </w:t>
      </w:r>
      <w:r>
        <w:rPr>
          <w:rFonts w:eastAsia="Calibri" w:cs="Segoe UI" w:ascii="Segoe UI" w:hAnsi="Segoe UI"/>
          <w:sz w:val="18"/>
          <w:szCs w:val="18"/>
        </w:rPr>
        <w:t>Тел.: + 7 (342) 235-71-32</w:t>
      </w:r>
    </w:p>
    <w:p>
      <w:pPr>
        <w:pStyle w:val="NormalWeb"/>
        <w:spacing w:before="0" w:after="0"/>
        <w:rPr/>
      </w:pPr>
      <w:hyperlink r:id="rId3">
        <w:r>
          <w:rPr>
            <w:rStyle w:val="Style7"/>
            <w:rFonts w:eastAsia="Calibri" w:cs="Segoe UI" w:ascii="Segoe UI" w:hAnsi="Segoe UI"/>
            <w:lang w:val="en-US"/>
          </w:rPr>
          <w:t>press</w:t>
        </w:r>
        <w:r>
          <w:rPr>
            <w:rStyle w:val="Style7"/>
            <w:rFonts w:eastAsia="Calibri" w:cs="Segoe UI" w:ascii="Segoe UI" w:hAnsi="Segoe UI"/>
          </w:rPr>
          <w:t>@59.</w:t>
        </w:r>
        <w:r>
          <w:rPr>
            <w:rStyle w:val="Style7"/>
            <w:rFonts w:eastAsia="Calibri" w:cs="Segoe UI" w:ascii="Segoe UI" w:hAnsi="Segoe UI"/>
            <w:lang w:val="en-US"/>
          </w:rPr>
          <w:t>kadastr</w:t>
        </w:r>
        <w:r>
          <w:rPr>
            <w:rStyle w:val="Style7"/>
            <w:rFonts w:eastAsia="Calibri" w:cs="Segoe UI" w:ascii="Segoe UI" w:hAnsi="Segoe UI"/>
          </w:rPr>
          <w:t>.</w:t>
        </w:r>
        <w:r>
          <w:rPr>
            <w:rStyle w:val="Style7"/>
            <w:rFonts w:eastAsia="Calibri" w:cs="Segoe UI" w:ascii="Segoe UI" w:hAnsi="Segoe UI"/>
            <w:lang w:val="en-US"/>
          </w:rPr>
          <w:t>ru</w:t>
        </w:r>
      </w:hyperlink>
    </w:p>
    <w:p>
      <w:pPr>
        <w:pStyle w:val="NormalWeb"/>
        <w:spacing w:before="0" w:after="0"/>
        <w:rPr/>
      </w:pPr>
      <w:hyperlink r:id="rId4">
        <w:r>
          <w:rPr>
            <w:rStyle w:val="Style7"/>
            <w:rFonts w:eastAsia="Calibri" w:cs="Segoe UI" w:ascii="Segoe UI" w:hAnsi="Segoe UI"/>
            <w:lang w:val="en-US"/>
          </w:rPr>
          <w:t>www</w:t>
        </w:r>
        <w:r>
          <w:rPr>
            <w:rStyle w:val="Style7"/>
            <w:rFonts w:eastAsia="Calibri" w:cs="Segoe UI" w:ascii="Segoe UI" w:hAnsi="Segoe UI"/>
          </w:rPr>
          <w:t>.</w:t>
        </w:r>
        <w:r>
          <w:rPr>
            <w:rStyle w:val="Style7"/>
            <w:rFonts w:eastAsia="Calibri" w:cs="Segoe UI" w:ascii="Segoe UI" w:hAnsi="Segoe UI"/>
            <w:lang w:val="en-US"/>
          </w:rPr>
          <w:t>kadastr</w:t>
        </w:r>
        <w:r>
          <w:rPr>
            <w:rStyle w:val="Style7"/>
            <w:rFonts w:eastAsia="Calibri" w:cs="Segoe UI" w:ascii="Segoe UI" w:hAnsi="Segoe UI"/>
          </w:rPr>
          <w:t>.</w:t>
        </w:r>
        <w:r>
          <w:rPr>
            <w:rStyle w:val="Style7"/>
            <w:rFonts w:eastAsia="Calibri" w:cs="Segoe UI" w:ascii="Segoe UI" w:hAnsi="Segoe UI"/>
            <w:lang w:val="en-US"/>
          </w:rPr>
          <w:t>ru</w:t>
        </w:r>
      </w:hyperlink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567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1">
    <w:name w:val="Heading 1"/>
    <w:basedOn w:val="Style10"/>
    <w:qFormat/>
    <w:pPr>
      <w:ind w:left="0" w:hanging="0"/>
      <w:outlineLvl w:val="0"/>
    </w:pPr>
    <w:rPr>
      <w:b/>
      <w:bCs/>
      <w:sz w:val="36"/>
      <w:szCs w:val="36"/>
    </w:rPr>
  </w:style>
  <w:style w:type="paragraph" w:styleId="2">
    <w:name w:val="Heading 2"/>
    <w:basedOn w:val="Style10"/>
    <w:qFormat/>
    <w:pPr>
      <w:spacing w:before="200" w:after="120"/>
      <w:ind w:left="0" w:hanging="0"/>
      <w:outlineLvl w:val="1"/>
    </w:pPr>
    <w:rPr>
      <w:b/>
      <w:bCs/>
      <w:sz w:val="32"/>
      <w:szCs w:val="32"/>
    </w:rPr>
  </w:style>
  <w:style w:type="paragraph" w:styleId="3">
    <w:name w:val="Heading 3"/>
    <w:basedOn w:val="Style10"/>
    <w:qFormat/>
    <w:pPr>
      <w:spacing w:before="140" w:after="120"/>
      <w:ind w:left="0" w:hanging="0"/>
      <w:outlineLvl w:val="2"/>
    </w:pPr>
    <w:rPr>
      <w:b/>
      <w:bCs/>
    </w:rPr>
  </w:style>
  <w:style w:type="paragraph" w:styleId="4">
    <w:name w:val="Heading 4"/>
    <w:basedOn w:val="Style10"/>
    <w:qFormat/>
    <w:pPr>
      <w:spacing w:before="120" w:after="120"/>
      <w:outlineLvl w:val="3"/>
    </w:pPr>
    <w:rPr>
      <w:rFonts w:ascii="Liberation Serif" w:hAnsi="Liberation Serif" w:eastAsia="Arial Unicode MS" w:cs="Mangal"/>
      <w:b/>
      <w:bCs/>
      <w:sz w:val="24"/>
      <w:szCs w:val="24"/>
    </w:rPr>
  </w:style>
  <w:style w:type="paragraph" w:styleId="5">
    <w:name w:val="Heading 5"/>
    <w:basedOn w:val="Style10"/>
    <w:qFormat/>
    <w:pPr>
      <w:spacing w:before="120" w:after="60"/>
      <w:ind w:left="0" w:hanging="0"/>
      <w:outlineLvl w:val="4"/>
    </w:pPr>
    <w:rPr>
      <w:b/>
      <w:bCs/>
      <w:sz w:val="24"/>
      <w:szCs w:val="24"/>
    </w:rPr>
  </w:style>
  <w:style w:type="paragraph" w:styleId="6">
    <w:name w:val="Heading 6"/>
    <w:basedOn w:val="Style10"/>
    <w:qFormat/>
    <w:pPr>
      <w:spacing w:before="60" w:after="60"/>
      <w:ind w:left="0" w:hanging="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0"/>
    <w:qFormat/>
    <w:pPr>
      <w:spacing w:before="60" w:after="60"/>
      <w:ind w:left="0" w:hanging="0"/>
      <w:outlineLvl w:val="6"/>
    </w:pPr>
    <w:rPr>
      <w:b/>
      <w:bCs/>
      <w:sz w:val="22"/>
      <w:szCs w:val="22"/>
    </w:rPr>
  </w:style>
  <w:style w:type="paragraph" w:styleId="8">
    <w:name w:val="Heading 8"/>
    <w:basedOn w:val="Style10"/>
    <w:qFormat/>
    <w:pPr>
      <w:spacing w:before="60" w:after="60"/>
      <w:ind w:left="0" w:hanging="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0"/>
    <w:qFormat/>
    <w:pPr>
      <w:spacing w:before="60" w:after="60"/>
      <w:ind w:left="0" w:hanging="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81" w:customStyle="1">
    <w:name w:val="Основной шрифт абзаца8"/>
    <w:qFormat/>
    <w:rPr/>
  </w:style>
  <w:style w:type="character" w:styleId="71" w:customStyle="1">
    <w:name w:val="Основной шрифт абзаца7"/>
    <w:qFormat/>
    <w:rPr/>
  </w:style>
  <w:style w:type="character" w:styleId="61" w:customStyle="1">
    <w:name w:val="Основной шрифт абзаца6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51" w:customStyle="1">
    <w:name w:val="Основной шрифт абзаца5"/>
    <w:qFormat/>
    <w:rPr/>
  </w:style>
  <w:style w:type="character" w:styleId="41" w:customStyle="1">
    <w:name w:val="Основной шрифт абзаца4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Style5" w:customStyle="1">
    <w:name w:val="Верхний колонтитул Знак"/>
    <w:basedOn w:val="11"/>
    <w:qFormat/>
    <w:rPr/>
  </w:style>
  <w:style w:type="character" w:styleId="Style6" w:customStyle="1">
    <w:name w:val="Нижний колонтитул Знак"/>
    <w:basedOn w:val="11"/>
    <w:qFormat/>
    <w:rPr/>
  </w:style>
  <w:style w:type="character" w:styleId="Style7">
    <w:name w:val="Интернет-ссылка"/>
    <w:rPr>
      <w:color w:val="0000FF"/>
      <w:u w:val="single"/>
    </w:rPr>
  </w:style>
  <w:style w:type="character" w:styleId="Appleconvertedspace" w:customStyle="1">
    <w:name w:val="apple-converted-space"/>
    <w:basedOn w:val="11"/>
    <w:qFormat/>
    <w:rPr/>
  </w:style>
  <w:style w:type="character" w:styleId="FollowedHyperlink">
    <w:name w:val="FollowedHyperlink"/>
    <w:basedOn w:val="11"/>
    <w:qFormat/>
    <w:rPr>
      <w:color w:val="800080"/>
      <w:u w:val="single"/>
    </w:rPr>
  </w:style>
  <w:style w:type="character" w:styleId="Strong">
    <w:name w:val="Strong"/>
    <w:basedOn w:val="11"/>
    <w:qFormat/>
    <w:rPr>
      <w:b/>
      <w:bCs/>
    </w:rPr>
  </w:style>
  <w:style w:type="character" w:styleId="Style8" w:customStyle="1">
    <w:name w:val="Символ нумерации"/>
    <w:qFormat/>
    <w:rPr/>
  </w:style>
  <w:style w:type="character" w:styleId="Style9" w:customStyle="1">
    <w:name w:val="Маркеры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Style10" w:customStyle="1">
    <w:name w:val="Заголовок"/>
    <w:basedOn w:val="Normal"/>
    <w:next w:val="Style11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cs="Tahoma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2" w:customStyle="1">
    <w:name w:val="Указатель8"/>
    <w:basedOn w:val="Normal"/>
    <w:qFormat/>
    <w:pPr>
      <w:suppressLineNumbers/>
    </w:pPr>
    <w:rPr>
      <w:rFonts w:cs="Mangal"/>
    </w:rPr>
  </w:style>
  <w:style w:type="paragraph" w:styleId="52" w:customStyle="1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Указатель7"/>
    <w:basedOn w:val="Normal"/>
    <w:qFormat/>
    <w:pPr>
      <w:suppressLineNumbers/>
    </w:pPr>
    <w:rPr>
      <w:rFonts w:cs="Mangal"/>
    </w:rPr>
  </w:style>
  <w:style w:type="paragraph" w:styleId="42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3" w:customStyle="1">
    <w:name w:val="Указатель5"/>
    <w:basedOn w:val="Normal"/>
    <w:qFormat/>
    <w:pPr>
      <w:suppressLineNumbers/>
    </w:pPr>
    <w:rPr>
      <w:rFonts w:cs="Mangal"/>
    </w:rPr>
  </w:style>
  <w:style w:type="paragraph" w:styleId="DefaultText" w:customStyle="1">
    <w:name w:val="Default Text"/>
    <w:qFormat/>
    <w:pPr>
      <w:widowControl w:val="false"/>
      <w:suppressAutoHyphens w:val="true"/>
      <w:bidi w:val="0"/>
      <w:jc w:val="left"/>
    </w:pPr>
    <w:rPr>
      <w:rFonts w:ascii="Arial" w:hAnsi="Arial" w:eastAsia="Arial Unicode MS" w:cs="Arial"/>
      <w:color w:val="00000A"/>
      <w:sz w:val="24"/>
      <w:szCs w:val="24"/>
      <w:lang w:val="ru-RU" w:eastAsia="zh-CN" w:bidi="ar-SA"/>
    </w:rPr>
  </w:style>
  <w:style w:type="paragraph" w:styleId="22" w:customStyle="1">
    <w:name w:val="Название объекта2"/>
    <w:basedOn w:val="DefaultText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43" w:customStyle="1">
    <w:name w:val="Указатель4"/>
    <w:basedOn w:val="Normal"/>
    <w:qFormat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>
      <w:rFonts w:cs="Tahoma"/>
    </w:rPr>
  </w:style>
  <w:style w:type="paragraph" w:styleId="23" w:customStyle="1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 w:customStyle="1">
    <w:name w:val="Указатель2"/>
    <w:basedOn w:val="Normal"/>
    <w:qFormat/>
    <w:pPr>
      <w:suppressLineNumbers/>
    </w:pPr>
    <w:rPr>
      <w:rFonts w:cs="Tahoma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5">
    <w:name w:val="Header"/>
    <w:basedOn w:val="Normal"/>
    <w:pPr>
      <w:suppressLineNumbers/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pPr>
      <w:suppressLineNumbers/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xtBodySingle" w:customStyle="1">
    <w:name w:val="Text Body Single"/>
    <w:basedOn w:val="DefaultText"/>
    <w:qFormat/>
    <w:pPr>
      <w:spacing w:before="0" w:after="120"/>
    </w:pPr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10" w:customStyle="1">
    <w:name w:val="Заголовок 10"/>
    <w:basedOn w:val="Style10"/>
    <w:qFormat/>
    <w:pPr>
      <w:spacing w:before="60" w:after="60"/>
      <w:ind w:left="0" w:hanging="0"/>
    </w:pPr>
    <w:rPr>
      <w:b/>
      <w:bCs/>
      <w:sz w:val="21"/>
      <w:szCs w:val="21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tLeast" w:line="100"/>
      <w:jc w:val="left"/>
    </w:pPr>
    <w:rPr>
      <w:rFonts w:ascii="Arial" w:hAnsi="Arial" w:eastAsia="Andale Sans UI" w:cs="Arial"/>
      <w:color w:val="00000A"/>
      <w:sz w:val="22"/>
      <w:szCs w:val="20"/>
      <w:lang w:val="en-US" w:eastAsia="zh-CN" w:bidi="en-US"/>
    </w:rPr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rial" w:hAnsi="Arial" w:eastAsia="SimSun" w:cs="Mangal"/>
      <w:color w:val="000000"/>
      <w:sz w:val="24"/>
      <w:szCs w:val="24"/>
      <w:lang w:val="ru-RU" w:eastAsia="zh-CN" w:bidi="hi-IN"/>
    </w:rPr>
  </w:style>
  <w:style w:type="paragraph" w:styleId="Consplusnormal1" w:customStyle="1">
    <w:name w:val="consplus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9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 w:customStyle="1">
    <w:name w:val="Содержимое врезки"/>
    <w:basedOn w:val="Normal"/>
    <w:qFormat/>
    <w:pPr/>
    <w:rPr/>
  </w:style>
  <w:style w:type="paragraph" w:styleId="Style21" w:customStyle="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s59@u59.rosreestr.ru" TargetMode="External"/><Relationship Id="rId4" Type="http://schemas.openxmlformats.org/officeDocument/2006/relationships/hyperlink" Target="http://www.fgu59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LibreOffice/5.1.2.2$Windows_x86 LibreOffice_project/d3bf12ecb743fc0d20e0be0c58ca359301eb705f</Application>
  <Pages>2</Pages>
  <Words>249</Words>
  <Characters>1866</Characters>
  <CharactersWithSpaces>2111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2018-03-16T10:18:00Z</dcterms:created>
  <dc:creator>ehodorenko</dc:creator>
  <dc:description/>
  <dc:language>ru-RU</dc:language>
  <cp:lastModifiedBy/>
  <cp:lastPrinted>2018-03-13T11:49:00Z</cp:lastPrinted>
  <dcterms:modified xsi:type="dcterms:W3CDTF">2018-03-26T10:29:42Z</dcterms:modified>
  <cp:revision>5</cp:revision>
  <dc:subject/>
  <dc:title>Федеральный закон от 24.07.2007 N 221-ФЗ(ред. от 03.07.2016)"О кадастровой деятельности"(с изм. и доп., вступ. в силу с 01.01.2017)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