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8F" w:rsidRDefault="00931C25" w:rsidP="00931C25">
      <w:pPr>
        <w:pStyle w:val="1"/>
        <w:jc w:val="center"/>
        <w:rPr>
          <w:sz w:val="32"/>
          <w:szCs w:val="32"/>
        </w:rPr>
      </w:pPr>
      <w:r w:rsidRPr="00A57886">
        <w:rPr>
          <w:sz w:val="32"/>
          <w:szCs w:val="32"/>
        </w:rPr>
        <w:t xml:space="preserve">Личное общение – минимум, </w:t>
      </w:r>
    </w:p>
    <w:p w:rsidR="00931C25" w:rsidRPr="00A57886" w:rsidRDefault="00931C25" w:rsidP="00931C25">
      <w:pPr>
        <w:pStyle w:val="1"/>
        <w:jc w:val="center"/>
        <w:rPr>
          <w:sz w:val="32"/>
          <w:szCs w:val="32"/>
        </w:rPr>
      </w:pPr>
      <w:r w:rsidRPr="00A57886">
        <w:rPr>
          <w:sz w:val="32"/>
          <w:szCs w:val="32"/>
        </w:rPr>
        <w:t>предоставление услуг ПФР - максимум</w:t>
      </w:r>
    </w:p>
    <w:p w:rsidR="00931C25" w:rsidRDefault="00931C25" w:rsidP="00931C25">
      <w:pPr>
        <w:pStyle w:val="a8"/>
      </w:pP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УПФР в г. Чернушке Пермского края (межрайонное) обращает внимание, что в условиях неблагоприятной эпидемиологической ситуации прием граждан в клиентских службах ПФР осуществляется преимущественно по предварительной записи.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При этом, как показывает опрос приходящих на прием граждан, большинство вопросов, с которыми они обращаются в клиентскую службу, можно было бы решить по телефону или с использованием электронных сервисов ПФР.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Например, около 60 электронных сервисов Пенсионного фонда России позволяют гражданам получать услуги ПФР дистанционно. Сделать это можно через «Личный кабинет» на сайте ПФР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r w:rsidRPr="00931C25">
        <w:rPr>
          <w:rFonts w:ascii="Times New Roman" w:hAnsi="Times New Roman"/>
          <w:sz w:val="28"/>
          <w:szCs w:val="28"/>
          <w:lang w:val="en-US"/>
        </w:rPr>
        <w:t>gov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или на Едином портале госуслуг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>. Использовать их могут не только пенсионеры, но и те, кто только формируют пенсию или имеют право на другие социальные выплаты.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Так, при подаче в электронном виде заявления о распоряжении средствами материнского (семейного) капитала (МСК)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запросит самостоятельно. И приходить на прием уже не нужно. Сведения из договора купли-продажи, договора участия в долевом строительстве будут получены посредством портала Росреестра, сведения из договора об образовании - в рамках заключенных соглашений с образовательными организациями, в том числе и дошкольными учреждениями, сведения из кредитного договора - в рамках заключенных соглашений с кредитными организациями. Кстати, если с банком заключено соответствующее соглашение, то и заявление о распоряжении средствами МСК на погашение жилищного (в том числе ипотечного) кредита можно подать прямо в банке. А банк заявление со всем пакетом необходимых документов направит в Пенсионный фонд для рассмотрения.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Одну из самых востребованных услуг Пенсионного фонда – установление пенсии – сегодня достаточно просто получить без личного посещения клиентской службы ПФР или МФЦ. Специалисты Пенсионного фонда проводят </w:t>
      </w:r>
      <w:r w:rsidRPr="00931C25">
        <w:rPr>
          <w:rFonts w:ascii="Times New Roman" w:hAnsi="Times New Roman"/>
          <w:sz w:val="28"/>
          <w:szCs w:val="28"/>
        </w:rPr>
        <w:lastRenderedPageBreak/>
        <w:t xml:space="preserve">заблаговременную работу с лицами, уходящими на пенсию. При достижении пенсионного возраста гражданину уже нет необходимости лично приходить с документами и справками в ПФР – достаточно в электронном виде через «Личный кабинет» на сайте ПФР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r w:rsidRPr="00931C25">
        <w:rPr>
          <w:rFonts w:ascii="Times New Roman" w:hAnsi="Times New Roman"/>
          <w:sz w:val="28"/>
          <w:szCs w:val="28"/>
          <w:lang w:val="en-US"/>
        </w:rPr>
        <w:t>gov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или Едином портале государственных услуг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подать заявление об установлении пенсии, указав способ доставки.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В «Личном кабинете»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r w:rsidRPr="00931C25">
        <w:rPr>
          <w:rFonts w:ascii="Times New Roman" w:hAnsi="Times New Roman"/>
          <w:sz w:val="28"/>
          <w:szCs w:val="28"/>
          <w:lang w:val="en-US"/>
        </w:rPr>
        <w:t>gov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клиенты также могут получить информацию по вопросам оформления электронной трудовой книжки, ведения индивидуального лицевого счета, управления пенсионными накоплениями, получения пенсии и различных социальных выплат, узнать о своих пенсионных коэффициентах, пенсионном капитале, стаже, отчислениях работодателей и т.д.</w:t>
      </w:r>
    </w:p>
    <w:p w:rsidR="00931C25" w:rsidRPr="008239CB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Еще сотрудники территориальных органов ПФР готовы ответить на вопросы и проконсультировать граждан </w:t>
      </w:r>
      <w:bookmarkStart w:id="0" w:name="_Hlk66641733"/>
      <w:r w:rsidRPr="00931C25">
        <w:rPr>
          <w:rFonts w:ascii="Times New Roman" w:hAnsi="Times New Roman"/>
          <w:sz w:val="28"/>
          <w:szCs w:val="28"/>
        </w:rPr>
        <w:t>по телефон</w:t>
      </w:r>
      <w:r w:rsidR="00A57886">
        <w:rPr>
          <w:rFonts w:ascii="Times New Roman" w:hAnsi="Times New Roman"/>
          <w:sz w:val="28"/>
          <w:szCs w:val="28"/>
        </w:rPr>
        <w:t>у</w:t>
      </w:r>
      <w:r w:rsidRPr="00931C25">
        <w:rPr>
          <w:rFonts w:ascii="Times New Roman" w:hAnsi="Times New Roman"/>
          <w:sz w:val="28"/>
          <w:szCs w:val="28"/>
        </w:rPr>
        <w:t xml:space="preserve"> «горяч</w:t>
      </w:r>
      <w:r w:rsidR="00A57886">
        <w:rPr>
          <w:rFonts w:ascii="Times New Roman" w:hAnsi="Times New Roman"/>
          <w:sz w:val="28"/>
          <w:szCs w:val="28"/>
        </w:rPr>
        <w:t>их</w:t>
      </w:r>
      <w:r w:rsidRPr="00931C25">
        <w:rPr>
          <w:rFonts w:ascii="Times New Roman" w:hAnsi="Times New Roman"/>
          <w:sz w:val="28"/>
          <w:szCs w:val="28"/>
        </w:rPr>
        <w:t xml:space="preserve"> лини</w:t>
      </w:r>
      <w:r w:rsidR="00A57886">
        <w:rPr>
          <w:rFonts w:ascii="Times New Roman" w:hAnsi="Times New Roman"/>
          <w:sz w:val="28"/>
          <w:szCs w:val="28"/>
        </w:rPr>
        <w:t>и</w:t>
      </w:r>
      <w:r w:rsidRPr="00931C25">
        <w:rPr>
          <w:rFonts w:ascii="Times New Roman" w:hAnsi="Times New Roman"/>
          <w:sz w:val="28"/>
          <w:szCs w:val="28"/>
        </w:rPr>
        <w:t>» Управления ПФР</w:t>
      </w:r>
      <w:r w:rsidR="00717F8F">
        <w:rPr>
          <w:rFonts w:ascii="Times New Roman" w:hAnsi="Times New Roman"/>
          <w:sz w:val="28"/>
          <w:szCs w:val="28"/>
        </w:rPr>
        <w:t>:</w:t>
      </w:r>
      <w:r w:rsidR="00A57886">
        <w:rPr>
          <w:rFonts w:ascii="Times New Roman" w:hAnsi="Times New Roman"/>
          <w:sz w:val="28"/>
          <w:szCs w:val="28"/>
        </w:rPr>
        <w:t xml:space="preserve"> </w:t>
      </w:r>
      <w:r w:rsidR="00717F8F" w:rsidRPr="008239CB">
        <w:rPr>
          <w:rFonts w:ascii="Times New Roman" w:hAnsi="Times New Roman"/>
          <w:sz w:val="28"/>
          <w:szCs w:val="28"/>
        </w:rPr>
        <w:t xml:space="preserve">Клиентская служба в </w:t>
      </w:r>
      <w:proofErr w:type="spellStart"/>
      <w:r w:rsidR="00717F8F" w:rsidRPr="008239CB">
        <w:rPr>
          <w:rFonts w:ascii="Times New Roman" w:hAnsi="Times New Roman"/>
          <w:sz w:val="28"/>
          <w:szCs w:val="28"/>
        </w:rPr>
        <w:t>Уинском</w:t>
      </w:r>
      <w:proofErr w:type="spellEnd"/>
      <w:r w:rsidR="00717F8F" w:rsidRPr="008239CB">
        <w:rPr>
          <w:rFonts w:ascii="Times New Roman" w:hAnsi="Times New Roman"/>
          <w:sz w:val="28"/>
          <w:szCs w:val="28"/>
        </w:rPr>
        <w:t xml:space="preserve"> районе 8(34259)2-3</w:t>
      </w:r>
      <w:r w:rsidR="008239CB" w:rsidRPr="008239CB">
        <w:rPr>
          <w:rFonts w:ascii="Times New Roman" w:hAnsi="Times New Roman"/>
          <w:sz w:val="28"/>
          <w:szCs w:val="28"/>
        </w:rPr>
        <w:t>1</w:t>
      </w:r>
      <w:r w:rsidR="00717F8F" w:rsidRPr="008239CB">
        <w:rPr>
          <w:rFonts w:ascii="Times New Roman" w:hAnsi="Times New Roman"/>
          <w:sz w:val="28"/>
          <w:szCs w:val="28"/>
        </w:rPr>
        <w:t>-</w:t>
      </w:r>
      <w:r w:rsidR="008239CB" w:rsidRPr="008239CB">
        <w:rPr>
          <w:rFonts w:ascii="Times New Roman" w:hAnsi="Times New Roman"/>
          <w:sz w:val="28"/>
          <w:szCs w:val="28"/>
        </w:rPr>
        <w:t>80</w:t>
      </w:r>
      <w:r w:rsidRPr="008239CB">
        <w:rPr>
          <w:rFonts w:ascii="Times New Roman" w:hAnsi="Times New Roman"/>
          <w:sz w:val="28"/>
          <w:szCs w:val="28"/>
        </w:rPr>
        <w:t>.</w:t>
      </w:r>
    </w:p>
    <w:bookmarkEnd w:id="0"/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Если человек хочет получить телефонную консультацию по конкретному вопросу, связанному с предоставлением персональных данных, он может сделать это после прохождения процедуры идентификации и получения так называемого «кодового слова». Получить такой пароль можно при личном обращении в управление ПФР или через «Личный кабинет» на сайте ПФР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r w:rsidRPr="00931C25">
        <w:rPr>
          <w:rFonts w:ascii="Times New Roman" w:hAnsi="Times New Roman"/>
          <w:sz w:val="28"/>
          <w:szCs w:val="28"/>
          <w:lang w:val="en-US"/>
        </w:rPr>
        <w:t>gov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Кроме того, работники органов ПФР звонят клиентам, уже записавшимся на прием, чтобы выяснить, остается ли актуальной запись и уточнить тему обращения – зачастую вопрос решается по телефону и без личного посещения клиентской службы. Если же урегулировать проблему по телефону не удается, специалисты ПФР могут рекомендовать направить запрос с использованием электронного сервиса на сайте Пенсионного фонда </w:t>
      </w:r>
      <w:r w:rsidRPr="00931C25">
        <w:rPr>
          <w:rFonts w:ascii="Times New Roman" w:hAnsi="Times New Roman"/>
          <w:sz w:val="28"/>
          <w:szCs w:val="28"/>
          <w:lang w:val="en-US"/>
        </w:rPr>
        <w:t>www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931C25">
        <w:rPr>
          <w:rFonts w:ascii="Times New Roman" w:hAnsi="Times New Roman"/>
          <w:sz w:val="28"/>
          <w:szCs w:val="28"/>
        </w:rPr>
        <w:t>.</w:t>
      </w:r>
      <w:r w:rsidRPr="00931C25">
        <w:rPr>
          <w:rFonts w:ascii="Times New Roman" w:hAnsi="Times New Roman"/>
          <w:sz w:val="28"/>
          <w:szCs w:val="28"/>
          <w:lang w:val="en-US"/>
        </w:rPr>
        <w:t>gov</w:t>
      </w:r>
      <w:r w:rsidRPr="00931C25">
        <w:rPr>
          <w:rFonts w:ascii="Times New Roman" w:hAnsi="Times New Roman"/>
          <w:sz w:val="28"/>
          <w:szCs w:val="28"/>
        </w:rPr>
        <w:t>.</w:t>
      </w:r>
      <w:proofErr w:type="spellStart"/>
      <w:r w:rsidRPr="00931C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«Оставить электронное обращение» и помогают такой запрос сформировать.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Проконсультироваться можно и через онлайн-чаты и чат-боты на сайте ПФР.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Формат дистанционных консультаций очень удобен, так как это позволяет свести к минимуму личное посещение клиентской службы УПФР, снизить риск распространения </w:t>
      </w:r>
      <w:proofErr w:type="spellStart"/>
      <w:r w:rsidRPr="00931C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инфекции.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Если человек все же пришел в клиентскую службу, то прежде, чем записываться на прием, ему следует обратиться к администратору, возможно, он поможет решить его проблему на месте, без предварительной записи. Обращаем также </w:t>
      </w:r>
      <w:r w:rsidRPr="00931C25">
        <w:rPr>
          <w:rFonts w:ascii="Times New Roman" w:hAnsi="Times New Roman"/>
          <w:sz w:val="28"/>
          <w:szCs w:val="28"/>
        </w:rPr>
        <w:lastRenderedPageBreak/>
        <w:t>внимание своих клиентов, что личный прием в клиентских службах ведется только при наличии средств индивидуальной защиты - масок.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Кроме того, на сайте ПФР размещен огромный массив официальной информации по всему спектру деятельности Пенсионного фонда России. Поэтому советуем нашим клиентам перед визитом в клиентскую службу сначала зайти на сайт ПФР, возможно, личное посещение УПФР уже не потребуется.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Управление ПФР в г. Чернушке Пермского края (межрайонное) ведет активную работу по взаимодействию с гражданами в социальных сетях и сервисах интернет-блогов. Пользователи интернета могут получать новости от УПФР удобным для себя способом, задать свои вопросы и оперативно получить ответ. Управление ПФР представлено на площадке в </w:t>
      </w:r>
      <w:proofErr w:type="spellStart"/>
      <w:r w:rsidRPr="00931C25">
        <w:rPr>
          <w:rFonts w:ascii="Times New Roman" w:hAnsi="Times New Roman"/>
          <w:sz w:val="28"/>
          <w:szCs w:val="28"/>
        </w:rPr>
        <w:t>Vkontakte</w:t>
      </w:r>
      <w:proofErr w:type="spellEnd"/>
      <w:r w:rsidRPr="00931C25">
        <w:rPr>
          <w:rFonts w:ascii="Times New Roman" w:hAnsi="Times New Roman"/>
          <w:sz w:val="28"/>
          <w:szCs w:val="28"/>
        </w:rPr>
        <w:t>, где размещают новости и разъяснительные материалы, а специалисты ПФР также готовы ответить на вопросы клиентов.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 xml:space="preserve">Органы ПФР в настоящее время оказывают ряд услуг в </w:t>
      </w:r>
      <w:proofErr w:type="spellStart"/>
      <w:r w:rsidRPr="00931C2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режиме. Так, в </w:t>
      </w:r>
      <w:proofErr w:type="spellStart"/>
      <w:r w:rsidRPr="00931C25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931C25">
        <w:rPr>
          <w:rFonts w:ascii="Times New Roman" w:hAnsi="Times New Roman"/>
          <w:sz w:val="28"/>
          <w:szCs w:val="28"/>
        </w:rPr>
        <w:t xml:space="preserve"> порядке, специалисты территориальных органов ПФР оформляют материнский капитал, страховой номер индивидуального лицевого счета (СНИЛС) на новорожденных и назначают ежемесячную денежную выплату (ЕДВ) для инвалидов и детей-инвалидов.</w:t>
      </w:r>
    </w:p>
    <w:p w:rsidR="00931C25" w:rsidRPr="00931C25" w:rsidRDefault="00931C25" w:rsidP="00931C25">
      <w:pPr>
        <w:pStyle w:val="a8"/>
        <w:rPr>
          <w:rFonts w:ascii="Times New Roman" w:hAnsi="Times New Roman"/>
          <w:sz w:val="28"/>
          <w:szCs w:val="28"/>
        </w:rPr>
      </w:pPr>
      <w:r w:rsidRPr="00931C25">
        <w:rPr>
          <w:rFonts w:ascii="Times New Roman" w:hAnsi="Times New Roman"/>
          <w:sz w:val="28"/>
          <w:szCs w:val="28"/>
        </w:rPr>
        <w:t>Таким образом, для того, чтобы получить услуги Пенсионного фонда, сегодня совсем не обязательно планировать личный прием в ПФР или МФЦ - большая часть услуг доступна дистанционно.</w:t>
      </w:r>
    </w:p>
    <w:p w:rsidR="00931C25" w:rsidRPr="00931C25" w:rsidRDefault="00931C25" w:rsidP="00931C25">
      <w:pPr>
        <w:rPr>
          <w:sz w:val="28"/>
          <w:szCs w:val="28"/>
        </w:rPr>
      </w:pPr>
    </w:p>
    <w:p w:rsidR="00931C25" w:rsidRPr="00931C25" w:rsidRDefault="00931C25" w:rsidP="00931C25">
      <w:pPr>
        <w:rPr>
          <w:sz w:val="28"/>
          <w:szCs w:val="28"/>
        </w:rPr>
      </w:pPr>
    </w:p>
    <w:p w:rsidR="009E51B6" w:rsidRPr="00931C25" w:rsidRDefault="009E51B6" w:rsidP="00931C25">
      <w:pPr>
        <w:rPr>
          <w:sz w:val="28"/>
          <w:szCs w:val="28"/>
        </w:rPr>
      </w:pPr>
    </w:p>
    <w:sectPr w:rsidR="009E51B6" w:rsidRPr="00931C25" w:rsidSect="0012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7D26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E" w:rsidRDefault="00264A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E" w:rsidRDefault="00264A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264A9E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bookmarkStart w:id="1" w:name="_GoBack"/>
                          <w:bookmarkEnd w:id="1"/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264A9E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bookmarkStart w:id="2" w:name="_GoBack"/>
                    <w:bookmarkEnd w:id="2"/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BE4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9E" w:rsidRDefault="00264A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64A9E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5F60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17F8F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39CB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1C25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886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A23ECC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5709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2021-03-28T12:43:00Z</dcterms:created>
  <dcterms:modified xsi:type="dcterms:W3CDTF">2021-03-28T12:43:00Z</dcterms:modified>
</cp:coreProperties>
</file>