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C0" w:rsidRDefault="004978C0" w:rsidP="00497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8C0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4978C0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6A77A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13.03.2021 № 362 «О государственной поддержке в 2021 юридических лиц и индивидуальных предпринимателей при трудоустройстве безработных граждан» </w:t>
      </w:r>
      <w:r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6E0E14">
        <w:rPr>
          <w:rFonts w:ascii="Times New Roman" w:hAnsi="Times New Roman" w:cs="Times New Roman"/>
          <w:sz w:val="28"/>
          <w:szCs w:val="28"/>
        </w:rPr>
        <w:t>с</w:t>
      </w:r>
      <w:r w:rsidRPr="006E0E14">
        <w:rPr>
          <w:rFonts w:ascii="Times New Roman" w:hAnsi="Times New Roman" w:cs="Times New Roman"/>
          <w:bCs/>
          <w:sz w:val="28"/>
          <w:szCs w:val="28"/>
        </w:rPr>
        <w:t xml:space="preserve">убсидирование найма для трудоустройства безработных можно будет оформить удаленно. </w:t>
      </w:r>
    </w:p>
    <w:p w:rsidR="004978C0" w:rsidRPr="006A77AD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color w:val="4D4D4D"/>
          <w:sz w:val="28"/>
          <w:szCs w:val="28"/>
        </w:rPr>
      </w:pPr>
      <w:r w:rsidRPr="006E0E14">
        <w:rPr>
          <w:rFonts w:ascii="Times New Roman" w:hAnsi="Times New Roman" w:cs="Times New Roman"/>
          <w:bCs/>
          <w:sz w:val="28"/>
          <w:szCs w:val="28"/>
        </w:rPr>
        <w:t>Никаких личных визитов работодателю осуществлять не придется — теперь направить заявление можно через портал «Работа в России»:</w:t>
      </w:r>
      <w:r w:rsidRPr="006E0E14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6A77AD">
          <w:rPr>
            <w:rFonts w:ascii="Times New Roman" w:hAnsi="Times New Roman" w:cs="Times New Roman"/>
            <w:color w:val="0033A0"/>
            <w:sz w:val="28"/>
            <w:szCs w:val="28"/>
            <w:u w:val="single"/>
          </w:rPr>
          <w:t>https://trudvsem.ru/information/pages/support-program</w:t>
        </w:r>
      </w:hyperlink>
    </w:p>
    <w:p w:rsidR="004978C0" w:rsidRPr="004978C0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8C0">
        <w:rPr>
          <w:rFonts w:ascii="Times New Roman" w:hAnsi="Times New Roman" w:cs="Times New Roman"/>
          <w:sz w:val="28"/>
          <w:szCs w:val="28"/>
        </w:rPr>
        <w:t>Получить субсидию сможет любой работодатель, если он примет в штат неработающего гражданина, зарегистрированного в центре занятости по состоянию на 1 января 2021 года. Размер субсидии на одно рабочее место может составить порядка 50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коэффициент.</w:t>
      </w:r>
    </w:p>
    <w:p w:rsidR="004978C0" w:rsidRPr="004978C0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8C0">
        <w:rPr>
          <w:rFonts w:ascii="Times New Roman" w:hAnsi="Times New Roman" w:cs="Times New Roman"/>
          <w:sz w:val="28"/>
          <w:szCs w:val="28"/>
        </w:rPr>
        <w:t xml:space="preserve">Первую субсидию в размере МРОТ работодатель получит после первого месяца, второй МРОТ – через три месяца, третий МРОТ – еще через три. </w:t>
      </w:r>
    </w:p>
    <w:p w:rsidR="004978C0" w:rsidRPr="004978C0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8C0">
        <w:rPr>
          <w:rFonts w:ascii="Times New Roman" w:hAnsi="Times New Roman" w:cs="Times New Roman"/>
          <w:sz w:val="28"/>
          <w:szCs w:val="28"/>
        </w:rPr>
        <w:t>Для получения субсидии работодателю необходимо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подается через государственную информационную систему.</w:t>
      </w:r>
    </w:p>
    <w:p w:rsidR="004978C0" w:rsidRPr="004978C0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8C0">
        <w:rPr>
          <w:rFonts w:ascii="Times New Roman" w:hAnsi="Times New Roman" w:cs="Times New Roman"/>
          <w:sz w:val="28"/>
          <w:szCs w:val="28"/>
        </w:rPr>
        <w:t>При этом сотрудники не должны быть зарегистрированы в качестве индивидуального предпринимателя, главы крестьянского (фермерского) хозяйства, к нему также не должны применять режим «Налог на профессиональный доход».</w:t>
      </w:r>
    </w:p>
    <w:p w:rsidR="004978C0" w:rsidRPr="004978C0" w:rsidRDefault="004978C0" w:rsidP="004978C0">
      <w:pPr>
        <w:spacing w:after="0" w:line="219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8C0">
        <w:rPr>
          <w:rFonts w:ascii="Times New Roman" w:hAnsi="Times New Roman" w:cs="Times New Roman"/>
          <w:sz w:val="28"/>
          <w:szCs w:val="28"/>
        </w:rPr>
        <w:t>Оператором платежей станет Фонд социального страхования — будет проверять работодателя и идентифицировать сотрудников по истечении одного, трех и шести месяцев. После этого фонд выплачивает субсидию в течение 10 рабочих дней с даты направления заявления. При отказе работодателю сообщат в течение этого же срока.</w:t>
      </w:r>
    </w:p>
    <w:p w:rsidR="004978C0" w:rsidRPr="00B92E3F" w:rsidRDefault="004978C0" w:rsidP="004978C0">
      <w:pPr>
        <w:pStyle w:val="a3"/>
        <w:rPr>
          <w:szCs w:val="28"/>
        </w:rPr>
      </w:pPr>
      <w:r w:rsidRPr="00B92E3F">
        <w:rPr>
          <w:szCs w:val="28"/>
        </w:rPr>
        <w:t>Условиями для включения работодателя в реестр являются:</w:t>
      </w:r>
    </w:p>
    <w:p w:rsidR="004978C0" w:rsidRPr="00B92E3F" w:rsidRDefault="004978C0" w:rsidP="004978C0">
      <w:pPr>
        <w:pStyle w:val="a3"/>
        <w:rPr>
          <w:szCs w:val="28"/>
        </w:rPr>
      </w:pPr>
      <w:r w:rsidRPr="00B92E3F">
        <w:rPr>
          <w:szCs w:val="28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4978C0" w:rsidRPr="006E0E14" w:rsidRDefault="004978C0" w:rsidP="004978C0">
      <w:pPr>
        <w:pStyle w:val="a3"/>
        <w:rPr>
          <w:szCs w:val="28"/>
        </w:rPr>
      </w:pPr>
      <w:r w:rsidRPr="00B92E3F">
        <w:rPr>
          <w:szCs w:val="28"/>
        </w:rPr>
        <w:t>б</w:t>
      </w:r>
      <w:r w:rsidRPr="006E0E14">
        <w:rPr>
          <w:szCs w:val="28"/>
        </w:rPr>
        <w:t xml:space="preserve">) направление заявления, указанного в </w:t>
      </w:r>
      <w:hyperlink r:id="rId5" w:history="1">
        <w:r w:rsidRPr="006E0E14">
          <w:rPr>
            <w:rStyle w:val="a5"/>
            <w:color w:val="auto"/>
            <w:szCs w:val="28"/>
          </w:rPr>
          <w:t>пункте 16 настоящих Правил;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в) отсутствие у работодателя на дату направления в Фонд заявления, указанного в </w:t>
      </w:r>
      <w:hyperlink r:id="rId6" w:history="1">
        <w:r w:rsidRPr="006E0E14">
          <w:rPr>
            <w:rStyle w:val="a5"/>
            <w:color w:val="auto"/>
            <w:szCs w:val="28"/>
          </w:rPr>
          <w:t xml:space="preserve">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</w:t>
        </w:r>
        <w:r w:rsidRPr="006E0E14">
          <w:rPr>
            <w:rStyle w:val="a5"/>
            <w:color w:val="auto"/>
            <w:szCs w:val="28"/>
          </w:rPr>
          <w:lastRenderedPageBreak/>
          <w:t>социальном страховании от несчастных случаев на производстве и профессиональных заболеваний;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г) отсутствие у работодателя на дату направления в Фонд заявления, указанного в </w:t>
      </w:r>
      <w:hyperlink r:id="rId7" w:history="1">
        <w:r w:rsidRPr="006E0E14">
          <w:rPr>
            <w:rStyle w:val="a5"/>
            <w:color w:val="auto"/>
            <w:szCs w:val="28"/>
          </w:rPr>
          <w:t>пункте 16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д) работодатель на дату направления в Фонд заявления, указанного в </w:t>
      </w:r>
      <w:hyperlink r:id="rId8" w:history="1">
        <w:r w:rsidRPr="006E0E14">
          <w:rPr>
            <w:rStyle w:val="a5"/>
            <w:color w:val="auto"/>
            <w:szCs w:val="28"/>
          </w:rPr>
          <w:t>пункте 16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е) неполучение работодателем на дату направления в Фонд заявления, указанного в </w:t>
      </w:r>
      <w:hyperlink r:id="rId9" w:history="1">
        <w:r w:rsidRPr="006E0E14">
          <w:rPr>
            <w:rStyle w:val="a5"/>
            <w:color w:val="auto"/>
            <w:szCs w:val="28"/>
          </w:rPr>
          <w:t xml:space="preserve">пункте 16 настоящих Правил, из федерального бюджета средств в соответствии с иными нормативными правовыми актами на цели, предусмотренные </w:t>
        </w:r>
      </w:hyperlink>
      <w:hyperlink r:id="rId10" w:history="1">
        <w:r w:rsidRPr="006E0E14">
          <w:rPr>
            <w:rStyle w:val="a5"/>
            <w:color w:val="auto"/>
            <w:szCs w:val="28"/>
          </w:rPr>
          <w:t>пунктом 1 настоящих Правил;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ж) работодатель на дату направления в Фонд заявления, указанного в </w:t>
      </w:r>
      <w:hyperlink r:id="rId11" w:history="1">
        <w:r w:rsidRPr="006E0E14">
          <w:rPr>
            <w:rStyle w:val="a5"/>
            <w:color w:val="auto"/>
            <w:szCs w:val="28"/>
          </w:rPr>
          <w:t xml:space="preserve">пункте 16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  </w:r>
      </w:hyperlink>
      <w:hyperlink r:id="rId12" w:history="1">
        <w:r w:rsidRPr="006E0E14">
          <w:rPr>
            <w:rStyle w:val="a5"/>
            <w:color w:val="auto"/>
            <w:szCs w:val="28"/>
          </w:rPr>
  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з) отсутствие в реестре дисквалифицированных лиц на дату направления в Фонд заявления, указанного в </w:t>
      </w:r>
      <w:hyperlink r:id="rId13" w:history="1">
        <w:r w:rsidRPr="006E0E14">
          <w:rPr>
            <w:rStyle w:val="a5"/>
            <w:color w:val="auto"/>
            <w:szCs w:val="28"/>
          </w:rPr>
          <w:t>пункте 16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к) выплата работодателем заработной платы трудоустроенным безработным гражданам в размере не ниже величины минимального размера </w:t>
      </w:r>
      <w:r w:rsidRPr="006E0E14">
        <w:rPr>
          <w:szCs w:val="28"/>
        </w:rPr>
        <w:lastRenderedPageBreak/>
        <w:t xml:space="preserve">оплаты труда, установленного Федеральным </w:t>
      </w:r>
      <w:hyperlink r:id="rId14" w:history="1">
        <w:r w:rsidRPr="006E0E14">
          <w:rPr>
            <w:rStyle w:val="a5"/>
            <w:color w:val="auto"/>
            <w:szCs w:val="28"/>
          </w:rPr>
          <w:t>законом "О минимальном размере оплаты труда";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л) отсутствие у работодателя на дату направления в Фонд заявления, указанного в </w:t>
      </w:r>
      <w:hyperlink r:id="rId15" w:history="1">
        <w:r w:rsidRPr="006E0E14">
          <w:rPr>
            <w:rStyle w:val="a5"/>
            <w:color w:val="auto"/>
            <w:szCs w:val="28"/>
          </w:rPr>
          <w:t>пункте 16 настоящих Правил, задолженности по заработной плате;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r:id="rId16" w:history="1">
        <w:r w:rsidRPr="006E0E14">
          <w:rPr>
            <w:rStyle w:val="a5"/>
            <w:color w:val="auto"/>
            <w:szCs w:val="28"/>
          </w:rPr>
          <w:t>пункте 1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 xml:space="preserve">н) отсутствие у работодателя займа в соответствии с </w:t>
      </w:r>
      <w:hyperlink r:id="rId17" w:history="1">
        <w:r w:rsidRPr="006E0E14">
          <w:rPr>
            <w:rStyle w:val="a5"/>
            <w:color w:val="auto"/>
            <w:szCs w:val="28"/>
          </w:rPr>
          <w:t>постановлением 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  </w:r>
      </w:hyperlink>
    </w:p>
    <w:p w:rsidR="004978C0" w:rsidRPr="006E0E14" w:rsidRDefault="004978C0" w:rsidP="004978C0">
      <w:pPr>
        <w:pStyle w:val="a3"/>
        <w:rPr>
          <w:szCs w:val="28"/>
        </w:rPr>
      </w:pPr>
      <w:r w:rsidRPr="006E0E14">
        <w:rPr>
          <w:szCs w:val="28"/>
        </w:rPr>
        <w:t>Приглашаем работодателей принять участие по данной программе</w:t>
      </w:r>
      <w:r w:rsidR="006E0E14" w:rsidRPr="006E0E14">
        <w:rPr>
          <w:szCs w:val="28"/>
        </w:rPr>
        <w:t>.</w:t>
      </w:r>
    </w:p>
    <w:p w:rsidR="004978C0" w:rsidRPr="004978C0" w:rsidRDefault="004978C0" w:rsidP="004978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78C0" w:rsidRPr="0049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6"/>
    <w:rsid w:val="004978C0"/>
    <w:rsid w:val="006E0E14"/>
    <w:rsid w:val="008F28C0"/>
    <w:rsid w:val="00F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9491-1E48-401B-85FC-5DE391FA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8C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78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3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2" Type="http://schemas.openxmlformats.org/officeDocument/2006/relationships/hyperlink" Target="consultantplus://offline/ref=60A93C2873A543CEAC80F60FD39F53E70F5FC6DC533CCFD7D5B013DDAE5F7BB35D5BC7E4DF28FDE608509B721E0BD93235832DkEO3E" TargetMode="External"/><Relationship Id="rId17" Type="http://schemas.openxmlformats.org/officeDocument/2006/relationships/hyperlink" Target="consultantplus://offline/ref=60A93C2873A543CEAC80F60FD39F53E70E50CDDD5236CFD7D5B013DDAE5F7BB35D5BC7E0D47CACA25456CD25445ED72E319D2FE1CEAEE928k0O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93C2873A543CEAC80F60FD39F53E70E5FC5DD5337CFD7D5B013DDAE5F7BB35D5BC7E0D47CACA35856CD25445ED72E319D2FE1CEAEE928k0O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1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5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5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0" Type="http://schemas.openxmlformats.org/officeDocument/2006/relationships/hyperlink" Target="consultantplus://offline/ref=60A93C2873A543CEAC80F60FD39F53E70E5FC5DD5337CFD7D5B013DDAE5F7BB35D5BC7E0D47CACA35856CD25445ED72E319D2FE1CEAEE928k0OC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rudvsem.ru/information/pages/support-program" TargetMode="External"/><Relationship Id="rId9" Type="http://schemas.openxmlformats.org/officeDocument/2006/relationships/hyperlink" Target="consultantplus://offline/ref=60A93C2873A543CEAC80F60FD39F53E70E5FC5DD5337CFD7D5B013DDAE5F7BB35D5BC7E0D47CACA75E56CD25445ED72E319D2FE1CEAEE928k0OCE" TargetMode="External"/><Relationship Id="rId14" Type="http://schemas.openxmlformats.org/officeDocument/2006/relationships/hyperlink" Target="consultantplus://offline/ref=60A93C2873A543CEAC80F60FD39F53E70E50C7D5533ECFD7D5B013DDAE5F7BB34F5B9FECD67AB2A25E439B7402k0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2021-04-12T04:44:00Z</dcterms:created>
  <dcterms:modified xsi:type="dcterms:W3CDTF">2021-04-12T05:47:00Z</dcterms:modified>
</cp:coreProperties>
</file>