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94" w:rsidRDefault="00BF5E94" w:rsidP="00B15AD5">
      <w:pPr>
        <w:pStyle w:val="a4"/>
        <w:tabs>
          <w:tab w:val="left" w:pos="840"/>
        </w:tabs>
        <w:ind w:firstLine="0"/>
      </w:pPr>
      <w:bookmarkStart w:id="0" w:name="_GoBack"/>
      <w:bookmarkEnd w:id="0"/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F5E94" w:rsidRDefault="00BF5E94" w:rsidP="00B15AD5">
      <w:pPr>
        <w:pStyle w:val="a4"/>
        <w:tabs>
          <w:tab w:val="left" w:pos="840"/>
        </w:tabs>
        <w:ind w:firstLine="0"/>
      </w:pPr>
    </w:p>
    <w:p w:rsidR="00B15AD5" w:rsidRPr="00B15AD5" w:rsidRDefault="00660A3E" w:rsidP="00B15AD5">
      <w:pPr>
        <w:pStyle w:val="a4"/>
        <w:tabs>
          <w:tab w:val="left" w:pos="8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2124710"/>
                <wp:effectExtent l="0" t="0" r="6985" b="889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12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96" w:rsidRDefault="00E55996" w:rsidP="00EC6CC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Об утверждении Положения об организации</w:t>
                            </w:r>
                          </w:p>
                          <w:p w:rsidR="00E55996" w:rsidRDefault="00E55996" w:rsidP="00EC6CC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 администрации Уинского муниципального</w:t>
                            </w:r>
                          </w:p>
                          <w:p w:rsidR="00E55996" w:rsidRDefault="00E55996" w:rsidP="00EC6CC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округа системы внутреннего обеспечения</w:t>
                            </w:r>
                          </w:p>
                          <w:p w:rsidR="00E55996" w:rsidRDefault="00E55996" w:rsidP="00EC6CC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соответствия требованиям</w:t>
                            </w:r>
                          </w:p>
                          <w:p w:rsidR="00E55996" w:rsidRDefault="00E55996" w:rsidP="00EC6CC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антимонопольного законодательства</w:t>
                            </w:r>
                          </w:p>
                          <w:p w:rsidR="00E55996" w:rsidRDefault="00E55996" w:rsidP="00EC6CCF">
                            <w:pPr>
                              <w:pStyle w:val="1"/>
                              <w:spacing w:after="60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(антимонопольный комплаенс)</w:t>
                            </w:r>
                          </w:p>
                          <w:p w:rsidR="00E55996" w:rsidRDefault="00E55996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6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D2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" filled="f" stroked="f">
                <v:textbox inset="0,0,0,0">
                  <w:txbxContent>
                    <w:p w:rsidR="00E55996" w:rsidRDefault="00E55996" w:rsidP="00EC6CC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Об утверждении Положения об организации</w:t>
                      </w:r>
                    </w:p>
                    <w:p w:rsidR="00E55996" w:rsidRDefault="00E55996" w:rsidP="00EC6CC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в администрации Уинского муниципального</w:t>
                      </w:r>
                    </w:p>
                    <w:p w:rsidR="00E55996" w:rsidRDefault="00E55996" w:rsidP="00EC6CC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округа системы внутреннего обеспечения</w:t>
                      </w:r>
                    </w:p>
                    <w:p w:rsidR="00E55996" w:rsidRDefault="00E55996" w:rsidP="00EC6CCF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соответствия требованиям</w:t>
                      </w:r>
                    </w:p>
                    <w:p w:rsidR="00E55996" w:rsidRDefault="00E55996" w:rsidP="00EC6CCF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антимонопольного законодательства</w:t>
                      </w:r>
                    </w:p>
                    <w:p w:rsidR="00E55996" w:rsidRDefault="00E55996" w:rsidP="00EC6CCF">
                      <w:pPr>
                        <w:pStyle w:val="1"/>
                        <w:spacing w:after="60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(антимонопольный комплаенс)</w:t>
                      </w:r>
                    </w:p>
                    <w:p w:rsidR="00E55996" w:rsidRDefault="00E55996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15AD5">
        <w:tab/>
      </w:r>
      <w:r w:rsidR="00B15AD5" w:rsidRPr="00B15AD5">
        <w:rPr>
          <w:b/>
        </w:rPr>
        <w:t xml:space="preserve">                                                         23.06.2021            259-01-03-179</w:t>
      </w:r>
    </w:p>
    <w:p w:rsidR="00B15AD5" w:rsidRDefault="00B15AD5" w:rsidP="00B15AD5">
      <w:pPr>
        <w:pStyle w:val="a4"/>
        <w:tabs>
          <w:tab w:val="left" w:pos="840"/>
        </w:tabs>
        <w:ind w:firstLine="0"/>
      </w:pPr>
    </w:p>
    <w:p w:rsidR="008034FB" w:rsidRDefault="008034FB" w:rsidP="008034FB">
      <w:pPr>
        <w:pStyle w:val="1"/>
        <w:spacing w:line="240" w:lineRule="auto"/>
        <w:ind w:firstLine="780"/>
        <w:jc w:val="both"/>
      </w:pPr>
      <w:r>
        <w:t xml:space="preserve">Во исполнение распоряжения Правительства Пермского края от 28.02.2019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 администрация Уинского муниципального округа </w:t>
      </w:r>
    </w:p>
    <w:p w:rsidR="008034FB" w:rsidRDefault="008034FB" w:rsidP="000C5004">
      <w:pPr>
        <w:pStyle w:val="1"/>
        <w:spacing w:line="240" w:lineRule="auto"/>
        <w:ind w:firstLine="0"/>
        <w:jc w:val="both"/>
      </w:pPr>
      <w:r>
        <w:t>ПОСТАНОВЛЯЕТ:</w:t>
      </w:r>
    </w:p>
    <w:p w:rsidR="008034FB" w:rsidRDefault="008034FB" w:rsidP="008034FB">
      <w:pPr>
        <w:pStyle w:val="1"/>
        <w:numPr>
          <w:ilvl w:val="0"/>
          <w:numId w:val="2"/>
        </w:numPr>
        <w:tabs>
          <w:tab w:val="left" w:pos="1098"/>
        </w:tabs>
        <w:spacing w:line="240" w:lineRule="auto"/>
        <w:ind w:firstLine="780"/>
        <w:jc w:val="both"/>
      </w:pPr>
      <w:bookmarkStart w:id="1" w:name="bookmark6"/>
      <w:bookmarkEnd w:id="1"/>
      <w:r>
        <w:t>Утвердить прилагаемое Положение об организации в администрации Уинского муниципального округа системы внутреннего обеспечения соответствия требованиям антимонопольного законодательства (антимонопольный комплаенс).</w:t>
      </w:r>
    </w:p>
    <w:p w:rsidR="008034FB" w:rsidRDefault="008034FB" w:rsidP="008034FB">
      <w:pPr>
        <w:pStyle w:val="1"/>
        <w:numPr>
          <w:ilvl w:val="0"/>
          <w:numId w:val="2"/>
        </w:numPr>
        <w:tabs>
          <w:tab w:val="left" w:pos="1093"/>
          <w:tab w:val="left" w:pos="1162"/>
        </w:tabs>
        <w:spacing w:line="240" w:lineRule="auto"/>
        <w:ind w:firstLine="780"/>
        <w:jc w:val="both"/>
      </w:pPr>
      <w:bookmarkStart w:id="2" w:name="bookmark7"/>
      <w:bookmarkEnd w:id="2"/>
      <w: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Пермского края в сети «Интернет». </w:t>
      </w:r>
      <w:bookmarkStart w:id="3" w:name="bookmark8"/>
      <w:bookmarkEnd w:id="3"/>
    </w:p>
    <w:p w:rsidR="008034FB" w:rsidRDefault="008034FB" w:rsidP="008034FB">
      <w:pPr>
        <w:pStyle w:val="1"/>
        <w:numPr>
          <w:ilvl w:val="0"/>
          <w:numId w:val="2"/>
        </w:numPr>
        <w:tabs>
          <w:tab w:val="left" w:pos="1093"/>
          <w:tab w:val="left" w:pos="1162"/>
        </w:tabs>
        <w:spacing w:line="240" w:lineRule="auto"/>
        <w:ind w:firstLine="780"/>
        <w:jc w:val="both"/>
      </w:pPr>
      <w:r>
        <w:t>Контроль за исполнением постановления оставляю за собой.</w:t>
      </w:r>
    </w:p>
    <w:p w:rsidR="008034FB" w:rsidRDefault="008034FB" w:rsidP="00FC1030">
      <w:pPr>
        <w:pStyle w:val="a4"/>
        <w:ind w:firstLine="0"/>
      </w:pPr>
    </w:p>
    <w:p w:rsidR="00344940" w:rsidRDefault="0081735F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940" w:rsidRDefault="008034FB" w:rsidP="008034FB">
      <w:pPr>
        <w:pStyle w:val="a4"/>
        <w:ind w:firstLine="0"/>
      </w:pPr>
      <w:r>
        <w:t>Глава муниципального округа-</w:t>
      </w:r>
    </w:p>
    <w:p w:rsidR="008034FB" w:rsidRDefault="008034FB" w:rsidP="008034FB">
      <w:pPr>
        <w:pStyle w:val="a4"/>
        <w:ind w:firstLine="0"/>
      </w:pPr>
      <w:r>
        <w:t>глава администрации Уинского</w:t>
      </w:r>
    </w:p>
    <w:p w:rsidR="008034FB" w:rsidRPr="008034FB" w:rsidRDefault="008034FB" w:rsidP="008034FB">
      <w:pPr>
        <w:pStyle w:val="a4"/>
        <w:ind w:firstLine="0"/>
      </w:pPr>
      <w:r>
        <w:lastRenderedPageBreak/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Зелёнкин</w:t>
      </w:r>
    </w:p>
    <w:p w:rsidR="00344940" w:rsidRPr="008034FB" w:rsidRDefault="008034FB" w:rsidP="00B15AD5">
      <w:r>
        <w:br w:type="page"/>
      </w:r>
    </w:p>
    <w:p w:rsidR="008034FB" w:rsidRDefault="008034FB" w:rsidP="008034FB">
      <w:pPr>
        <w:pStyle w:val="1"/>
        <w:spacing w:after="600" w:line="240" w:lineRule="auto"/>
        <w:ind w:left="7080" w:firstLine="0"/>
      </w:pPr>
      <w:r>
        <w:lastRenderedPageBreak/>
        <w:t>УТВЕРЖДЕНО постановлением администрации Уинского муниципального округа от</w:t>
      </w:r>
      <w:r w:rsidR="00B15AD5">
        <w:t xml:space="preserve"> 23.06.2021                           </w:t>
      </w:r>
      <w:r>
        <w:t xml:space="preserve">  №</w:t>
      </w:r>
      <w:r w:rsidR="00B15AD5">
        <w:t xml:space="preserve"> 259-01-03-179</w:t>
      </w:r>
    </w:p>
    <w:p w:rsidR="008034FB" w:rsidRDefault="008034FB" w:rsidP="008034FB">
      <w:pPr>
        <w:pStyle w:val="1"/>
        <w:spacing w:line="240" w:lineRule="auto"/>
        <w:ind w:firstLine="0"/>
        <w:jc w:val="center"/>
        <w:rPr>
          <w:b/>
          <w:bCs/>
        </w:rPr>
      </w:pPr>
    </w:p>
    <w:p w:rsidR="008034FB" w:rsidRDefault="008034FB" w:rsidP="008034FB">
      <w:pPr>
        <w:pStyle w:val="1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8034FB" w:rsidRDefault="008034FB" w:rsidP="008034FB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организации в администрации Уинского муниципального округа системы внутреннего обеспечения соответствия требованиям антимонопольного законодательства (антимонопольный комплаенс)</w:t>
      </w:r>
    </w:p>
    <w:p w:rsidR="008034FB" w:rsidRDefault="008034FB" w:rsidP="008034FB">
      <w:pPr>
        <w:pStyle w:val="1"/>
        <w:spacing w:line="240" w:lineRule="auto"/>
        <w:ind w:firstLine="0"/>
        <w:jc w:val="center"/>
      </w:pPr>
    </w:p>
    <w:p w:rsidR="008034FB" w:rsidRDefault="008034FB" w:rsidP="008034FB">
      <w:pPr>
        <w:pStyle w:val="30"/>
        <w:keepNext/>
        <w:keepLines/>
        <w:spacing w:after="0"/>
      </w:pPr>
      <w:bookmarkStart w:id="4" w:name="bookmark10"/>
      <w:bookmarkStart w:id="5" w:name="bookmark11"/>
      <w:bookmarkStart w:id="6" w:name="bookmark9"/>
      <w:r>
        <w:t>1.Общие положения</w:t>
      </w:r>
      <w:bookmarkEnd w:id="4"/>
      <w:bookmarkEnd w:id="5"/>
      <w:bookmarkEnd w:id="6"/>
    </w:p>
    <w:p w:rsidR="008034FB" w:rsidRDefault="008034FB" w:rsidP="008034FB">
      <w:pPr>
        <w:pStyle w:val="1"/>
        <w:numPr>
          <w:ilvl w:val="0"/>
          <w:numId w:val="3"/>
        </w:numPr>
        <w:tabs>
          <w:tab w:val="left" w:pos="1248"/>
        </w:tabs>
        <w:spacing w:line="240" w:lineRule="auto"/>
        <w:ind w:firstLine="720"/>
        <w:jc w:val="both"/>
      </w:pPr>
      <w:bookmarkStart w:id="7" w:name="bookmark12"/>
      <w:bookmarkEnd w:id="7"/>
      <w:r>
        <w:t>Положение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Уинского муниципального округа (далее - Положение) разработано в целях обеспечения соответствия деятельности администрации Уинского муниципального округа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</w:t>
      </w:r>
    </w:p>
    <w:p w:rsidR="008034FB" w:rsidRDefault="008034FB" w:rsidP="008034FB">
      <w:pPr>
        <w:pStyle w:val="1"/>
        <w:numPr>
          <w:ilvl w:val="0"/>
          <w:numId w:val="3"/>
        </w:numPr>
        <w:tabs>
          <w:tab w:val="left" w:pos="1243"/>
        </w:tabs>
        <w:spacing w:line="240" w:lineRule="auto"/>
        <w:ind w:firstLine="720"/>
      </w:pPr>
      <w:bookmarkStart w:id="8" w:name="bookmark13"/>
      <w:bookmarkEnd w:id="8"/>
      <w:r>
        <w:t>Для целей Положения используются следующие понятия: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«антимонопольный орган» - федеральный антимонопольный орган и его территориальный орган;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«доклад об антимонопольном комплаенсе» - документ, содержащий информацию об организации антимонопольного комплаенса в Администрации и о его функционировании;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lastRenderedPageBreak/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«нарушение антимонопольного законодательства» - недопущение, ограничение, устранение конкуренции Администрацией;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«уполномоченное подразделение» - структурное подразделение Администрации, осуществляющее внедрение антимонопольного комплаенса и контроль за его исполнением в Администрации.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</w:p>
    <w:p w:rsidR="008034FB" w:rsidRDefault="008034FB" w:rsidP="008034FB">
      <w:pPr>
        <w:pStyle w:val="30"/>
        <w:keepNext/>
        <w:keepLines/>
        <w:numPr>
          <w:ilvl w:val="0"/>
          <w:numId w:val="4"/>
        </w:numPr>
        <w:tabs>
          <w:tab w:val="left" w:pos="387"/>
        </w:tabs>
        <w:spacing w:after="0"/>
      </w:pPr>
      <w:bookmarkStart w:id="9" w:name="bookmark16"/>
      <w:bookmarkStart w:id="10" w:name="bookmark14"/>
      <w:bookmarkStart w:id="11" w:name="bookmark15"/>
      <w:bookmarkStart w:id="12" w:name="bookmark17"/>
      <w:bookmarkEnd w:id="9"/>
      <w:r>
        <w:t>Цели, задачи и принципы антимонопольного комплаенса</w:t>
      </w:r>
      <w:bookmarkEnd w:id="10"/>
      <w:bookmarkEnd w:id="11"/>
      <w:bookmarkEnd w:id="12"/>
    </w:p>
    <w:p w:rsidR="008034FB" w:rsidRDefault="008034FB" w:rsidP="008034FB">
      <w:pPr>
        <w:pStyle w:val="30"/>
        <w:keepNext/>
        <w:keepLines/>
        <w:tabs>
          <w:tab w:val="left" w:pos="387"/>
        </w:tabs>
        <w:spacing w:after="0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20"/>
        <w:jc w:val="both"/>
      </w:pPr>
      <w:bookmarkStart w:id="13" w:name="bookmark18"/>
      <w:bookmarkEnd w:id="13"/>
      <w:r>
        <w:t>Цели антимонопольного комплаенса: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-обеспечение соответствия деятельности Администрации требованиям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-профилактика нарушений требований антимонопольного законодательства в деятельности Администрации.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20"/>
        <w:jc w:val="both"/>
      </w:pPr>
      <w:bookmarkStart w:id="14" w:name="bookmark19"/>
      <w:bookmarkEnd w:id="14"/>
      <w:r>
        <w:t>Задачи антимонопольного комплаенса: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-выявление рисков нарушения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-управление рисками нарушения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-контроль за соответствием деятельности Администрации требованиям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-оценка эффективности функционирования в Администрации антимонопольного комплаенса.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20"/>
        <w:jc w:val="both"/>
      </w:pPr>
      <w:bookmarkStart w:id="15" w:name="bookmark20"/>
      <w:bookmarkEnd w:id="15"/>
      <w:r>
        <w:t>При организации антимонопольного комплаенса Администрации рекомендуется руководствоваться следующими принципами: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-заинтересованность руководства Администрации в эффективности функционирования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-регулярность оценки рисков нарушения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-обеспечение информационной открытости функционирования в Администрации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-непрерывность функционирования антимонопольного комплаенса в Администрации;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-совершенствование антимонопольного комплаенса в Администрации.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</w:p>
    <w:p w:rsidR="008034FB" w:rsidRPr="00211106" w:rsidRDefault="008034FB" w:rsidP="008034FB">
      <w:pPr>
        <w:pStyle w:val="1"/>
        <w:numPr>
          <w:ilvl w:val="0"/>
          <w:numId w:val="4"/>
        </w:numPr>
        <w:tabs>
          <w:tab w:val="left" w:pos="387"/>
        </w:tabs>
        <w:spacing w:line="240" w:lineRule="auto"/>
        <w:ind w:firstLine="0"/>
        <w:jc w:val="center"/>
      </w:pPr>
      <w:bookmarkStart w:id="16" w:name="bookmark21"/>
      <w:bookmarkEnd w:id="16"/>
      <w:r>
        <w:rPr>
          <w:b/>
          <w:bCs/>
        </w:rPr>
        <w:t>Организация антимонопольного комплаенса</w:t>
      </w:r>
    </w:p>
    <w:p w:rsidR="008034FB" w:rsidRDefault="008034FB" w:rsidP="008034FB">
      <w:pPr>
        <w:pStyle w:val="1"/>
        <w:tabs>
          <w:tab w:val="left" w:pos="387"/>
        </w:tabs>
        <w:spacing w:line="240" w:lineRule="auto"/>
        <w:ind w:firstLine="0"/>
        <w:jc w:val="center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20"/>
        <w:jc w:val="both"/>
      </w:pPr>
      <w:bookmarkStart w:id="17" w:name="bookmark22"/>
      <w:bookmarkEnd w:id="17"/>
      <w:r>
        <w:t>Общий контроль за организацией и функционированием в Администрации антимонопольного комплаенса осуществляется главой муниципального округа – главой администрации Уинского муниципального округа (далее - Глава муниципального  округа), который: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 xml:space="preserve">вводит в действие акт об антимонопольном комплаенсе, вносит в него </w:t>
      </w:r>
      <w:r>
        <w:lastRenderedPageBreak/>
        <w:t>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осуществляет контроль за устранением выявленных недостатков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подписывает доклад об антимонопольном комплаенсе (далее - доклад), утверждаемый коллегиальным органом.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04"/>
        </w:tabs>
        <w:spacing w:line="240" w:lineRule="auto"/>
        <w:ind w:firstLine="720"/>
        <w:jc w:val="both"/>
      </w:pPr>
      <w:bookmarkStart w:id="18" w:name="bookmark23"/>
      <w:bookmarkEnd w:id="18"/>
      <w:r>
        <w:t xml:space="preserve">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Администрации: юридическим отделом </w:t>
      </w:r>
      <w:r w:rsidR="000C5004">
        <w:t xml:space="preserve">и </w:t>
      </w:r>
      <w:r>
        <w:t>Управлением по экономике и с</w:t>
      </w:r>
      <w:r w:rsidR="000C5004">
        <w:t>ельскому хозяйству</w:t>
      </w:r>
      <w:r>
        <w:t>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09"/>
        </w:tabs>
        <w:spacing w:line="240" w:lineRule="auto"/>
        <w:ind w:firstLine="720"/>
        <w:jc w:val="both"/>
      </w:pPr>
      <w:bookmarkStart w:id="19" w:name="bookmark24"/>
      <w:bookmarkEnd w:id="19"/>
      <w:r>
        <w:t>К компетенции юридического отдела Администрации относятся следующие функции: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подготовка и представление Главе муниципального округа 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выявление конфликта интересов в деятельности муниципальных служащих и структурных подразделениях Администрации, разработка предложений по их исключению;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организация взаимодействия с другими структурными подразделениями по вопросам, связанным с антимонопольным комплаенсом;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инициирование проверок, связанных с нарушениями, выявленными в ходе контроля соответствия деятельности муниципальных служащих Администрации требованиям антимонопольного законодательства и участие в них в порядке, установленном законодательством Российской Федерации и постановлениями Администрации;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информирование Главы муниципального округа о внутренних документах, которые могут повлечь нарушение антимонопольного законодательства;</w:t>
      </w:r>
    </w:p>
    <w:p w:rsidR="008E68C6" w:rsidRDefault="008E68C6" w:rsidP="008E68C6">
      <w:pPr>
        <w:pStyle w:val="1"/>
        <w:spacing w:line="240" w:lineRule="auto"/>
        <w:ind w:firstLine="720"/>
        <w:jc w:val="both"/>
      </w:pPr>
      <w:r>
        <w:t>подготовка проекта доклада и представление его на подпись Главе муниципального  округа;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lastRenderedPageBreak/>
        <w:t>иные функции, связанные с функционированием антимонопольного комплаенса.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3.4.Оценку эффективности организации и функционирования антимонопольного комплаенса осуществляет коллегиальный орган.</w:t>
      </w:r>
    </w:p>
    <w:p w:rsidR="008034FB" w:rsidRDefault="008034FB" w:rsidP="008034FB">
      <w:pPr>
        <w:pStyle w:val="1"/>
        <w:numPr>
          <w:ilvl w:val="0"/>
          <w:numId w:val="5"/>
        </w:numPr>
        <w:tabs>
          <w:tab w:val="left" w:pos="1304"/>
        </w:tabs>
        <w:spacing w:line="240" w:lineRule="auto"/>
        <w:ind w:firstLine="720"/>
        <w:jc w:val="both"/>
      </w:pPr>
      <w:bookmarkStart w:id="20" w:name="bookmark25"/>
      <w:bookmarkEnd w:id="20"/>
      <w:r>
        <w:t>К функциям коллегиального органа относятся: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-рассмотрение и оценка мероприятий Администрации в части, касающейся функционирования антимонопольного комплаенса;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- рассмотрение и утверждение доклада об антимонопольном комплаенсе.</w:t>
      </w:r>
    </w:p>
    <w:p w:rsidR="008034FB" w:rsidRDefault="008034FB" w:rsidP="008034FB">
      <w:pPr>
        <w:pStyle w:val="1"/>
        <w:numPr>
          <w:ilvl w:val="0"/>
          <w:numId w:val="5"/>
        </w:numPr>
        <w:tabs>
          <w:tab w:val="left" w:pos="1304"/>
        </w:tabs>
        <w:spacing w:line="240" w:lineRule="auto"/>
        <w:ind w:firstLine="720"/>
        <w:jc w:val="both"/>
      </w:pPr>
      <w:bookmarkStart w:id="21" w:name="bookmark26"/>
      <w:bookmarkEnd w:id="21"/>
      <w:r>
        <w:t>К компетенции Управления по экономики и сельскому хозяйству Администрации относятся следующие функции: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координация взаимодействия с коллегиальным органом, а также функции по обеспечению работы коллегиального органа;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размещение на официальном сайте Администрации в информационно- телекоммуникационной сети «Интернет» (далее - официальный сайт Администрации) информации, предусмотренной настоящим Положением;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иные функции, связанные с функционированием антимонопольного комплаенса.</w:t>
      </w:r>
    </w:p>
    <w:p w:rsidR="000C5004" w:rsidRDefault="000C5004" w:rsidP="008034FB">
      <w:pPr>
        <w:pStyle w:val="1"/>
        <w:spacing w:line="240" w:lineRule="auto"/>
        <w:ind w:firstLine="720"/>
        <w:jc w:val="both"/>
      </w:pPr>
    </w:p>
    <w:p w:rsidR="008034FB" w:rsidRDefault="008034FB" w:rsidP="008034FB">
      <w:pPr>
        <w:pStyle w:val="30"/>
        <w:keepNext/>
        <w:keepLines/>
        <w:numPr>
          <w:ilvl w:val="0"/>
          <w:numId w:val="4"/>
        </w:numPr>
        <w:tabs>
          <w:tab w:val="left" w:pos="387"/>
        </w:tabs>
        <w:spacing w:after="0"/>
      </w:pPr>
      <w:bookmarkStart w:id="22" w:name="bookmark29"/>
      <w:bookmarkStart w:id="23" w:name="bookmark27"/>
      <w:bookmarkStart w:id="24" w:name="bookmark28"/>
      <w:bookmarkStart w:id="25" w:name="bookmark30"/>
      <w:bookmarkEnd w:id="22"/>
      <w:r>
        <w:t>Выявление и оценка рисков нарушения антимонопольного законодательства</w:t>
      </w:r>
      <w:bookmarkEnd w:id="23"/>
      <w:bookmarkEnd w:id="24"/>
      <w:bookmarkEnd w:id="25"/>
      <w:r w:rsidR="008E68C6">
        <w:t xml:space="preserve"> (комплаенс-рисков)</w:t>
      </w:r>
    </w:p>
    <w:p w:rsidR="000C5004" w:rsidRDefault="000C5004" w:rsidP="000C5004">
      <w:pPr>
        <w:pStyle w:val="30"/>
        <w:keepNext/>
        <w:keepLines/>
        <w:tabs>
          <w:tab w:val="left" w:pos="387"/>
        </w:tabs>
        <w:spacing w:after="0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90"/>
        </w:tabs>
        <w:spacing w:line="240" w:lineRule="auto"/>
        <w:ind w:firstLine="720"/>
        <w:jc w:val="both"/>
      </w:pPr>
      <w:bookmarkStart w:id="26" w:name="bookmark31"/>
      <w:bookmarkEnd w:id="26"/>
      <w:r>
        <w:t>В целях выявления рисков нарушения антимонопольного законодательст</w:t>
      </w:r>
      <w:r w:rsidR="008E68C6">
        <w:t xml:space="preserve">ва юридическим отделом Администрации </w:t>
      </w:r>
      <w:r>
        <w:t xml:space="preserve"> на регулярной основе должны проводится: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анализ проектов нормативных правовых актов Администрации;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мониторинг и анализ практики применения Администрацией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78"/>
        </w:tabs>
        <w:spacing w:line="240" w:lineRule="auto"/>
        <w:ind w:firstLine="720"/>
        <w:jc w:val="both"/>
      </w:pPr>
      <w:bookmarkStart w:id="27" w:name="bookmark32"/>
      <w:bookmarkEnd w:id="27"/>
      <w:r>
        <w:t>При проведении (не реже одного раза в год) мероприятий, предусмотренных пунктом 4.1 настоящего Положения,</w:t>
      </w:r>
      <w:r w:rsidR="008E68C6">
        <w:t xml:space="preserve"> юридический отдел Администрации</w:t>
      </w:r>
      <w:r>
        <w:t>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осуществляет сбор в структурных подразделениях Администрации сведений о наличии нарушений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 xml:space="preserve"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краткое </w:t>
      </w:r>
      <w:r>
        <w:lastRenderedPageBreak/>
        <w:t>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73"/>
        </w:tabs>
        <w:spacing w:line="240" w:lineRule="auto"/>
        <w:ind w:firstLine="720"/>
        <w:jc w:val="both"/>
      </w:pPr>
      <w:bookmarkStart w:id="28" w:name="bookmark33"/>
      <w:bookmarkEnd w:id="28"/>
      <w:r>
        <w:t>При проведении анализа нормативных правовых актов реализуются следующие мероприятия: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разработка и размещение на официальном сайте Администрации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предоставление Главе муниципального округа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83"/>
        </w:tabs>
        <w:spacing w:line="240" w:lineRule="auto"/>
        <w:ind w:firstLine="720"/>
        <w:jc w:val="both"/>
      </w:pPr>
      <w:bookmarkStart w:id="29" w:name="bookmark34"/>
      <w:bookmarkEnd w:id="29"/>
      <w:r>
        <w:t>При проведении анализа проектов нормативных правовых актов реализуются следующие мероприятия: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осуществление сбора и проведение оценки поступивших от организаций и</w:t>
      </w:r>
      <w:r w:rsidR="000C5004">
        <w:t xml:space="preserve"> </w:t>
      </w:r>
      <w:r>
        <w:t>граждан замечаний и предложений по проекту нормативного правового акта.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20"/>
        <w:jc w:val="both"/>
      </w:pPr>
      <w:bookmarkStart w:id="30" w:name="bookmark35"/>
      <w:bookmarkEnd w:id="30"/>
      <w:r>
        <w:t>При проведении мониторинга и анализа практики применения антимонопольного законод</w:t>
      </w:r>
      <w:r w:rsidR="008E68C6">
        <w:t>ательства юридическим отделом Администрации</w:t>
      </w:r>
      <w:r>
        <w:t xml:space="preserve"> реализуются следующие мероприятия: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осуществление на постоянной основе сбора сведений о правоприменительной практике в Администрации;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подготовка по итогам сбора информации, предусмотренной абзацем вторым настоящего пункта, аналитической справки об изменениях и основных аспектах правоприменительной практики.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проведение при необходимости рабочих совещаний с приглашением представителей Управления Федеральной антимонопольной службы по Пермскому краю по обсуждению результатов правоприменительной практики в Администрации.</w:t>
      </w:r>
    </w:p>
    <w:p w:rsidR="00104DC9" w:rsidRDefault="008034FB" w:rsidP="008034FB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20"/>
        <w:jc w:val="both"/>
      </w:pPr>
      <w:bookmarkStart w:id="31" w:name="bookmark36"/>
      <w:bookmarkEnd w:id="31"/>
      <w:r>
        <w:t>При выявлении рисков нарушения антимонопольного законод</w:t>
      </w:r>
      <w:r w:rsidR="00104DC9">
        <w:t>ательства юридическим отделом Администрции</w:t>
      </w:r>
      <w:r>
        <w:t xml:space="preserve"> проводится оценка таких рисков с учетом следующих показателей:</w:t>
      </w:r>
      <w:r w:rsidR="000C5004">
        <w:t xml:space="preserve"> </w:t>
      </w:r>
    </w:p>
    <w:p w:rsidR="008034FB" w:rsidRDefault="00104DC9" w:rsidP="00104DC9">
      <w:pPr>
        <w:pStyle w:val="1"/>
        <w:spacing w:line="240" w:lineRule="auto"/>
        <w:ind w:firstLine="0"/>
        <w:jc w:val="both"/>
      </w:pPr>
      <w:r>
        <w:tab/>
      </w:r>
      <w:r w:rsidR="008034FB">
        <w:t>отрицательное влияние на отношение институтов гражданского</w:t>
      </w:r>
      <w:r w:rsidR="000C5004">
        <w:t xml:space="preserve"> </w:t>
      </w:r>
      <w:r>
        <w:t xml:space="preserve">общества  </w:t>
      </w:r>
      <w:r w:rsidR="008034FB">
        <w:t>деятельности Администрации по развитию конкуренции;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lastRenderedPageBreak/>
        <w:t>выдача предупреждения о прекращении действия (бездействия), которые содержат признаки нарушения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возбуждение дела о нарушении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20"/>
        <w:jc w:val="both"/>
      </w:pPr>
      <w: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20"/>
        <w:jc w:val="both"/>
      </w:pPr>
      <w:bookmarkStart w:id="32" w:name="bookmark37"/>
      <w:bookmarkEnd w:id="32"/>
      <w:r>
        <w:t>Выявляемые риски нарушения антимонопольного законодательства распределяются по уровням согласно приложению к настоящему Положению.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90"/>
        </w:tabs>
        <w:spacing w:line="240" w:lineRule="auto"/>
        <w:ind w:firstLine="720"/>
        <w:jc w:val="both"/>
      </w:pPr>
      <w:bookmarkStart w:id="33" w:name="bookmark38"/>
      <w:bookmarkEnd w:id="33"/>
      <w:r>
        <w:t xml:space="preserve">На основе проведенной оценки рисков нарушения антимонопольного законодательства </w:t>
      </w:r>
      <w:r w:rsidR="00104DC9">
        <w:t xml:space="preserve">юридическим отделом Администрации </w:t>
      </w:r>
      <w:r>
        <w:t>составляется описание рисков, в которое также включается оценка причин и условий возникновения рисков.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04"/>
        </w:tabs>
        <w:spacing w:line="240" w:lineRule="auto"/>
        <w:ind w:firstLine="720"/>
        <w:jc w:val="both"/>
      </w:pPr>
      <w:bookmarkStart w:id="34" w:name="bookmark39"/>
      <w:bookmarkEnd w:id="34"/>
      <w: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8034FB" w:rsidRDefault="008034FB" w:rsidP="008034FB">
      <w:pPr>
        <w:pStyle w:val="1"/>
        <w:tabs>
          <w:tab w:val="left" w:pos="1304"/>
        </w:tabs>
        <w:spacing w:line="240" w:lineRule="auto"/>
        <w:ind w:firstLine="0"/>
        <w:jc w:val="both"/>
      </w:pPr>
    </w:p>
    <w:p w:rsidR="008034FB" w:rsidRDefault="008034FB" w:rsidP="008034FB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35" w:name="bookmark42"/>
      <w:bookmarkStart w:id="36" w:name="bookmark40"/>
      <w:bookmarkStart w:id="37" w:name="bookmark41"/>
      <w:bookmarkStart w:id="38" w:name="bookmark43"/>
      <w:bookmarkEnd w:id="35"/>
      <w:r>
        <w:t>Мероприятия по снижению рисков нарушения антимонопольного законодательства</w:t>
      </w:r>
      <w:bookmarkEnd w:id="36"/>
      <w:bookmarkEnd w:id="37"/>
      <w:bookmarkEnd w:id="38"/>
    </w:p>
    <w:p w:rsidR="008034FB" w:rsidRDefault="008034FB" w:rsidP="008034FB">
      <w:pPr>
        <w:pStyle w:val="30"/>
        <w:keepNext/>
        <w:keepLines/>
        <w:tabs>
          <w:tab w:val="left" w:pos="382"/>
        </w:tabs>
        <w:spacing w:after="0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8"/>
        </w:tabs>
        <w:spacing w:line="240" w:lineRule="auto"/>
        <w:ind w:firstLine="720"/>
        <w:jc w:val="both"/>
      </w:pPr>
      <w:bookmarkStart w:id="39" w:name="bookmark44"/>
      <w:bookmarkEnd w:id="39"/>
      <w:r>
        <w:t xml:space="preserve">В целях снижения рисков нарушения антимонопольного законодательства </w:t>
      </w:r>
      <w:r w:rsidR="00104DC9">
        <w:t xml:space="preserve">юридическим отделом Администрации </w:t>
      </w:r>
      <w:r>
        <w:t>должны разрабатываться (не реже одного раза в год) мероприятия по снижению рисков нарушения антимонопольного</w:t>
      </w:r>
      <w:r w:rsidR="000C5004">
        <w:t xml:space="preserve"> </w:t>
      </w:r>
      <w:r>
        <w:t>законодательства в Администрации.</w:t>
      </w:r>
    </w:p>
    <w:p w:rsidR="008034FB" w:rsidRDefault="00104DC9" w:rsidP="008034FB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40"/>
        <w:jc w:val="both"/>
      </w:pPr>
      <w:bookmarkStart w:id="40" w:name="bookmark45"/>
      <w:bookmarkEnd w:id="40"/>
      <w:r>
        <w:t>Юридический отдел Администрации  должн</w:t>
      </w:r>
      <w:r w:rsidR="008034FB">
        <w:t xml:space="preserve"> осуществлять мониторинг исполнения мероприятий по снижению рисков нарушения антимонопольного законодательства в Администрации.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09"/>
        </w:tabs>
        <w:spacing w:line="240" w:lineRule="auto"/>
        <w:ind w:firstLine="740"/>
        <w:jc w:val="both"/>
      </w:pPr>
      <w:bookmarkStart w:id="41" w:name="bookmark46"/>
      <w:bookmarkEnd w:id="41"/>
      <w:r>
        <w:t>Информация об исполнении мероприятий по снижению рисков нарушения антимонопольного законодательства в Администрации включается в доклад об антимонопольном комплаенсе.</w:t>
      </w:r>
    </w:p>
    <w:p w:rsidR="008034FB" w:rsidRDefault="008034FB" w:rsidP="008034FB">
      <w:pPr>
        <w:pStyle w:val="1"/>
        <w:tabs>
          <w:tab w:val="left" w:pos="1309"/>
        </w:tabs>
        <w:spacing w:line="240" w:lineRule="auto"/>
        <w:ind w:firstLine="0"/>
        <w:jc w:val="both"/>
      </w:pPr>
    </w:p>
    <w:p w:rsidR="008034FB" w:rsidRDefault="008034FB" w:rsidP="008034FB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42" w:name="bookmark49"/>
      <w:bookmarkStart w:id="43" w:name="bookmark47"/>
      <w:bookmarkStart w:id="44" w:name="bookmark48"/>
      <w:bookmarkStart w:id="45" w:name="bookmark50"/>
      <w:bookmarkEnd w:id="42"/>
      <w:r>
        <w:t>Оценка эффективности функционирования в Администрации антимонопольного комплаенса</w:t>
      </w:r>
      <w:bookmarkEnd w:id="43"/>
      <w:bookmarkEnd w:id="44"/>
      <w:bookmarkEnd w:id="45"/>
    </w:p>
    <w:p w:rsidR="008034FB" w:rsidRDefault="008034FB" w:rsidP="008034FB">
      <w:pPr>
        <w:pStyle w:val="30"/>
        <w:keepNext/>
        <w:keepLines/>
        <w:tabs>
          <w:tab w:val="left" w:pos="382"/>
        </w:tabs>
        <w:spacing w:after="0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40"/>
        <w:jc w:val="both"/>
      </w:pPr>
      <w:bookmarkStart w:id="46" w:name="bookmark51"/>
      <w:bookmarkEnd w:id="46"/>
      <w:r>
        <w:t>В целях оценки эффективности функционирования в Администрации антимонопольного комплаенса должны устанавливаться ключевые показатели как для уполномоченного подразделения, так и ответственных структурных подразделений Администрации в целом.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40"/>
        <w:jc w:val="both"/>
      </w:pPr>
      <w:bookmarkStart w:id="47" w:name="bookmark52"/>
      <w:bookmarkEnd w:id="47"/>
      <w:r>
        <w:t>Методика расчета ключевых показателей эффективности функционирования в Администрации антимонопольного комплаенса утверждается постановлением Администрации.</w:t>
      </w:r>
    </w:p>
    <w:p w:rsidR="008034FB" w:rsidRDefault="005F65A2" w:rsidP="008034FB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40"/>
        <w:jc w:val="both"/>
      </w:pPr>
      <w:bookmarkStart w:id="48" w:name="bookmark53"/>
      <w:bookmarkEnd w:id="48"/>
      <w:r>
        <w:t>Юридический отдел Администрации должен</w:t>
      </w:r>
      <w:r w:rsidR="008034FB">
        <w:t xml:space="preserve"> проводить (не реже одного раза в год) оценку достижений ключевых показателей эффективности антимонопольного</w:t>
      </w:r>
      <w:r w:rsidR="000C5004">
        <w:t xml:space="preserve"> </w:t>
      </w:r>
      <w:r w:rsidR="008034FB">
        <w:t>комплаенса в Администрации.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14"/>
        </w:tabs>
        <w:spacing w:line="240" w:lineRule="auto"/>
        <w:ind w:firstLine="740"/>
        <w:jc w:val="both"/>
      </w:pPr>
      <w:bookmarkStart w:id="49" w:name="bookmark54"/>
      <w:bookmarkEnd w:id="49"/>
      <w:r>
        <w:t xml:space="preserve">Информация об исполнении достижений ключевых показателей </w:t>
      </w:r>
      <w:r>
        <w:lastRenderedPageBreak/>
        <w:t>эффективности функционирования в Администрации антимонопольного комплаенса включается в доклад об антимонопольном комплаенсе.</w:t>
      </w:r>
    </w:p>
    <w:p w:rsidR="008034FB" w:rsidRDefault="008034FB" w:rsidP="008034FB">
      <w:pPr>
        <w:pStyle w:val="1"/>
        <w:tabs>
          <w:tab w:val="left" w:pos="1314"/>
        </w:tabs>
        <w:spacing w:line="240" w:lineRule="auto"/>
        <w:ind w:firstLine="0"/>
        <w:jc w:val="both"/>
      </w:pPr>
    </w:p>
    <w:p w:rsidR="008034FB" w:rsidRDefault="008034FB" w:rsidP="008034FB">
      <w:pPr>
        <w:pStyle w:val="30"/>
        <w:keepNext/>
        <w:keepLines/>
        <w:numPr>
          <w:ilvl w:val="0"/>
          <w:numId w:val="4"/>
        </w:numPr>
        <w:tabs>
          <w:tab w:val="left" w:pos="382"/>
        </w:tabs>
        <w:spacing w:after="0"/>
      </w:pPr>
      <w:bookmarkStart w:id="50" w:name="bookmark57"/>
      <w:bookmarkStart w:id="51" w:name="bookmark55"/>
      <w:bookmarkStart w:id="52" w:name="bookmark56"/>
      <w:bookmarkStart w:id="53" w:name="bookmark58"/>
      <w:bookmarkEnd w:id="50"/>
      <w:r>
        <w:t>Доклад об антимонопольном комплаенсе</w:t>
      </w:r>
      <w:bookmarkEnd w:id="51"/>
      <w:bookmarkEnd w:id="52"/>
      <w:bookmarkEnd w:id="53"/>
    </w:p>
    <w:p w:rsidR="008034FB" w:rsidRDefault="008034FB" w:rsidP="008034FB">
      <w:pPr>
        <w:pStyle w:val="30"/>
        <w:keepNext/>
        <w:keepLines/>
        <w:tabs>
          <w:tab w:val="left" w:pos="382"/>
        </w:tabs>
        <w:spacing w:after="0"/>
      </w:pP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324"/>
        </w:tabs>
        <w:spacing w:line="240" w:lineRule="auto"/>
        <w:ind w:firstLine="740"/>
        <w:jc w:val="both"/>
      </w:pPr>
      <w:bookmarkStart w:id="54" w:name="bookmark59"/>
      <w:bookmarkEnd w:id="54"/>
      <w:r>
        <w:t>Доклад об антимонопольном комплаенсе должен содержать информацию:</w:t>
      </w:r>
    </w:p>
    <w:p w:rsidR="008034FB" w:rsidRDefault="008034FB" w:rsidP="008034FB">
      <w:pPr>
        <w:pStyle w:val="1"/>
        <w:spacing w:line="240" w:lineRule="auto"/>
        <w:ind w:firstLine="740"/>
        <w:jc w:val="both"/>
      </w:pPr>
      <w:r>
        <w:t>о результатах проведенной оценки рисков нарушения Администрацией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40"/>
        <w:jc w:val="both"/>
      </w:pPr>
      <w:r>
        <w:t>об исполнении мероприятий по снижению рисков нарушения Администрацией антимонопольного законодательства;</w:t>
      </w:r>
    </w:p>
    <w:p w:rsidR="008034FB" w:rsidRDefault="008034FB" w:rsidP="008034FB">
      <w:pPr>
        <w:pStyle w:val="1"/>
        <w:spacing w:line="240" w:lineRule="auto"/>
        <w:ind w:firstLine="740"/>
        <w:jc w:val="both"/>
      </w:pPr>
      <w:r>
        <w:t>о достижении ключевых показателей эффективности антимонопольного комплаенса.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94"/>
        </w:tabs>
        <w:spacing w:line="240" w:lineRule="auto"/>
        <w:ind w:firstLine="740"/>
        <w:jc w:val="both"/>
      </w:pPr>
      <w:bookmarkStart w:id="55" w:name="bookmark60"/>
      <w:bookmarkEnd w:id="55"/>
      <w:r>
        <w:t>Доклад об антимонопольном комплаенсе предоставляется в коллегиальный орган на утверждение уполномоченным органом (не реже одного раза в год).</w:t>
      </w:r>
    </w:p>
    <w:p w:rsidR="008034FB" w:rsidRDefault="008034FB" w:rsidP="008034FB">
      <w:pPr>
        <w:pStyle w:val="1"/>
        <w:numPr>
          <w:ilvl w:val="1"/>
          <w:numId w:val="4"/>
        </w:numPr>
        <w:tabs>
          <w:tab w:val="left" w:pos="1285"/>
        </w:tabs>
        <w:spacing w:line="240" w:lineRule="auto"/>
        <w:ind w:firstLine="740"/>
        <w:jc w:val="both"/>
        <w:sectPr w:rsidR="008034FB" w:rsidSect="008E68C6">
          <w:footerReference w:type="default" r:id="rId10"/>
          <w:pgSz w:w="11909" w:h="16834"/>
          <w:pgMar w:top="1134" w:right="714" w:bottom="709" w:left="944" w:header="1221" w:footer="1323" w:gutter="0"/>
          <w:cols w:space="720"/>
          <w:noEndnote/>
          <w:docGrid w:linePitch="360"/>
        </w:sectPr>
      </w:pPr>
      <w:bookmarkStart w:id="56" w:name="bookmark61"/>
      <w:bookmarkEnd w:id="56"/>
      <w:r>
        <w:t>Утвержденный коллегиальным органом и подписанный Главой муниципального округа доклад размещается на официальном сайте Администрации.</w:t>
      </w:r>
    </w:p>
    <w:p w:rsidR="008034FB" w:rsidRDefault="008034FB" w:rsidP="008034FB">
      <w:pPr>
        <w:pStyle w:val="1"/>
        <w:spacing w:line="168" w:lineRule="auto"/>
        <w:ind w:left="6020" w:firstLine="0"/>
      </w:pPr>
      <w:r>
        <w:lastRenderedPageBreak/>
        <w:t>Приложение</w:t>
      </w:r>
    </w:p>
    <w:p w:rsidR="008034FB" w:rsidRDefault="008034FB" w:rsidP="008034FB">
      <w:pPr>
        <w:pStyle w:val="1"/>
        <w:spacing w:after="220" w:line="168" w:lineRule="auto"/>
        <w:ind w:left="6020" w:firstLine="0"/>
      </w:pPr>
      <w:r>
        <w:t>к Положению об организации в Администрации системы внутреннего обеспечения соответствия требованиям антимонопольного законодательства (антимонопольный комплаенс)</w:t>
      </w:r>
    </w:p>
    <w:p w:rsidR="008034FB" w:rsidRDefault="008034FB" w:rsidP="008034FB">
      <w:pPr>
        <w:pStyle w:val="1"/>
        <w:spacing w:after="220" w:line="22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УРОВНИ РИСКОВ </w:t>
      </w:r>
    </w:p>
    <w:p w:rsidR="008034FB" w:rsidRDefault="008034FB" w:rsidP="008034FB">
      <w:pPr>
        <w:pStyle w:val="1"/>
        <w:spacing w:after="220" w:line="226" w:lineRule="auto"/>
        <w:ind w:firstLine="0"/>
        <w:jc w:val="center"/>
      </w:pPr>
      <w:r>
        <w:rPr>
          <w:b/>
          <w:bCs/>
        </w:rPr>
        <w:t>нарушения антимонопольного законодательства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82"/>
        <w:gridCol w:w="4670"/>
      </w:tblGrid>
      <w:tr w:rsidR="008034FB" w:rsidTr="008E68C6">
        <w:trPr>
          <w:trHeight w:hRule="exact" w:val="7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line="156" w:lineRule="auto"/>
              <w:ind w:left="220" w:firstLine="20"/>
              <w:jc w:val="both"/>
            </w:pPr>
            <w:r>
              <w:t>№</w:t>
            </w:r>
            <w:r>
              <w:br/>
              <w:t>п/</w:t>
            </w:r>
            <w:r>
              <w:br/>
              <w:t>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left="1300" w:firstLine="0"/>
            </w:pPr>
            <w:r>
              <w:t>Уровень риска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0"/>
              <w:jc w:val="center"/>
            </w:pPr>
            <w:r>
              <w:t>Описание риска</w:t>
            </w:r>
          </w:p>
        </w:tc>
      </w:tr>
      <w:tr w:rsidR="008034FB" w:rsidTr="008E68C6">
        <w:trPr>
          <w:trHeight w:hRule="exact" w:val="6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4FB" w:rsidRDefault="008034FB" w:rsidP="008E68C6">
            <w:pPr>
              <w:pStyle w:val="af"/>
              <w:spacing w:line="240" w:lineRule="auto"/>
              <w:ind w:firstLine="340"/>
            </w:pPr>
            <w: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4FB" w:rsidRDefault="008034FB" w:rsidP="008E68C6">
            <w:pPr>
              <w:pStyle w:val="af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4FB" w:rsidRDefault="008034FB" w:rsidP="008E68C6">
            <w:pPr>
              <w:pStyle w:val="af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8034FB" w:rsidTr="008E68C6">
        <w:trPr>
          <w:trHeight w:hRule="exact" w:val="28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220"/>
            </w:pPr>
            <w: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0"/>
            </w:pPr>
            <w:r>
              <w:t>Низкий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line="240" w:lineRule="auto"/>
              <w:ind w:firstLine="0"/>
            </w:pPr>
            <w:r>
              <w:t>Отрицательное влияние на отношение</w:t>
            </w:r>
            <w:r>
              <w:br/>
              <w:t>институтов гражданского общества к деятельности Администрации по развитию конкуренции, вероятность выдачи предупреждения, возбуждения</w:t>
            </w:r>
            <w:r>
              <w:br/>
              <w:t>дела о нарушении антимонопольного законодательства, наложения штрафа отсутствует</w:t>
            </w:r>
          </w:p>
        </w:tc>
      </w:tr>
      <w:tr w:rsidR="008034FB" w:rsidTr="008E68C6">
        <w:trPr>
          <w:trHeight w:hRule="exact"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220"/>
            </w:pPr>
            <w: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0"/>
            </w:pPr>
            <w:r>
              <w:t>Незначительный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0"/>
            </w:pPr>
            <w:r>
              <w:t>Вероятность выдачи Администрации предупреждения</w:t>
            </w:r>
          </w:p>
        </w:tc>
      </w:tr>
      <w:tr w:rsidR="008034FB" w:rsidTr="008E68C6">
        <w:trPr>
          <w:trHeight w:hRule="exact" w:val="18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220"/>
            </w:pPr>
            <w: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0"/>
            </w:pPr>
            <w:r>
              <w:t>Существенный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0"/>
            </w:pPr>
            <w: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034FB" w:rsidTr="008E68C6">
        <w:trPr>
          <w:trHeight w:hRule="exact" w:val="28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220"/>
            </w:pPr>
            <w: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4FB" w:rsidRDefault="008034FB" w:rsidP="008E68C6">
            <w:pPr>
              <w:pStyle w:val="af"/>
              <w:spacing w:before="300" w:line="240" w:lineRule="auto"/>
              <w:ind w:firstLine="0"/>
            </w:pPr>
            <w:r>
              <w:t>Высокий уровень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FB" w:rsidRDefault="008034FB" w:rsidP="008E68C6">
            <w:pPr>
              <w:pStyle w:val="af"/>
              <w:spacing w:line="240" w:lineRule="auto"/>
              <w:ind w:firstLine="0"/>
            </w:pPr>
            <w:r>
              <w:t>Вероятность выдачи Администрации предупреждения и возбуждения в отношении него дела о нарушении антимонопольного законодательства и</w:t>
            </w:r>
            <w:r>
              <w:br/>
              <w:t>привлечения к административной ответственности (штраф, дисквалификация)</w:t>
            </w:r>
          </w:p>
        </w:tc>
      </w:tr>
    </w:tbl>
    <w:p w:rsidR="008034FB" w:rsidRDefault="008034FB" w:rsidP="008034FB"/>
    <w:p w:rsidR="007E4ADC" w:rsidRPr="008034FB" w:rsidRDefault="007E4ADC" w:rsidP="009169CE">
      <w:pPr>
        <w:pStyle w:val="a4"/>
      </w:pPr>
    </w:p>
    <w:p w:rsidR="002C37BB" w:rsidRDefault="00660A3E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96" w:rsidRPr="009169CE" w:rsidRDefault="00E55996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E55996" w:rsidRPr="009169CE" w:rsidRDefault="00E55996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96" w:rsidRDefault="00E55996">
      <w:r>
        <w:separator/>
      </w:r>
    </w:p>
  </w:endnote>
  <w:endnote w:type="continuationSeparator" w:id="0">
    <w:p w:rsidR="00E55996" w:rsidRDefault="00E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96" w:rsidRDefault="00E5599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96" w:rsidRDefault="00E55996">
      <w:r>
        <w:separator/>
      </w:r>
    </w:p>
  </w:footnote>
  <w:footnote w:type="continuationSeparator" w:id="0">
    <w:p w:rsidR="00E55996" w:rsidRDefault="00E5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F2"/>
    <w:multiLevelType w:val="multilevel"/>
    <w:tmpl w:val="0AA22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00D60D9"/>
    <w:multiLevelType w:val="multilevel"/>
    <w:tmpl w:val="3CBC60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B6F7F"/>
    <w:multiLevelType w:val="multilevel"/>
    <w:tmpl w:val="7A24220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323D0"/>
    <w:multiLevelType w:val="multilevel"/>
    <w:tmpl w:val="6FD8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862DA"/>
    <w:rsid w:val="000C5004"/>
    <w:rsid w:val="00104DC9"/>
    <w:rsid w:val="001D02CD"/>
    <w:rsid w:val="002C37BB"/>
    <w:rsid w:val="00344940"/>
    <w:rsid w:val="003F244B"/>
    <w:rsid w:val="00451963"/>
    <w:rsid w:val="00470FB3"/>
    <w:rsid w:val="00482A25"/>
    <w:rsid w:val="004B7255"/>
    <w:rsid w:val="00502F9B"/>
    <w:rsid w:val="00536FED"/>
    <w:rsid w:val="005B7C2C"/>
    <w:rsid w:val="005F65A2"/>
    <w:rsid w:val="006155F3"/>
    <w:rsid w:val="00637B08"/>
    <w:rsid w:val="00660A3E"/>
    <w:rsid w:val="0066436B"/>
    <w:rsid w:val="0078616F"/>
    <w:rsid w:val="007E4ADC"/>
    <w:rsid w:val="008034FB"/>
    <w:rsid w:val="0081735F"/>
    <w:rsid w:val="00817ACA"/>
    <w:rsid w:val="008B1016"/>
    <w:rsid w:val="008D16CB"/>
    <w:rsid w:val="008E68C6"/>
    <w:rsid w:val="008F37F8"/>
    <w:rsid w:val="009169CE"/>
    <w:rsid w:val="00997F4C"/>
    <w:rsid w:val="00A10EFB"/>
    <w:rsid w:val="00B1278C"/>
    <w:rsid w:val="00B15AD5"/>
    <w:rsid w:val="00BB0CD5"/>
    <w:rsid w:val="00BB6EA3"/>
    <w:rsid w:val="00BF5E94"/>
    <w:rsid w:val="00C80448"/>
    <w:rsid w:val="00E55996"/>
    <w:rsid w:val="00E55D54"/>
    <w:rsid w:val="00EB54EA"/>
    <w:rsid w:val="00EC6CCF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8034FB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8034FB"/>
    <w:pPr>
      <w:widowControl w:val="0"/>
      <w:spacing w:line="252" w:lineRule="auto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8034FB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8034FB"/>
    <w:rPr>
      <w:sz w:val="28"/>
      <w:szCs w:val="28"/>
    </w:rPr>
  </w:style>
  <w:style w:type="paragraph" w:customStyle="1" w:styleId="30">
    <w:name w:val="Заголовок №3"/>
    <w:basedOn w:val="a"/>
    <w:link w:val="3"/>
    <w:rsid w:val="008034FB"/>
    <w:pPr>
      <w:widowControl w:val="0"/>
      <w:spacing w:after="300"/>
      <w:jc w:val="center"/>
      <w:outlineLvl w:val="2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034FB"/>
    <w:pPr>
      <w:widowControl w:val="0"/>
      <w:spacing w:line="252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8034FB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8034FB"/>
    <w:pPr>
      <w:widowControl w:val="0"/>
      <w:spacing w:line="252" w:lineRule="auto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8034FB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8034FB"/>
    <w:rPr>
      <w:sz w:val="28"/>
      <w:szCs w:val="28"/>
    </w:rPr>
  </w:style>
  <w:style w:type="paragraph" w:customStyle="1" w:styleId="30">
    <w:name w:val="Заголовок №3"/>
    <w:basedOn w:val="a"/>
    <w:link w:val="3"/>
    <w:rsid w:val="008034FB"/>
    <w:pPr>
      <w:widowControl w:val="0"/>
      <w:spacing w:after="300"/>
      <w:jc w:val="center"/>
      <w:outlineLvl w:val="2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034FB"/>
    <w:pPr>
      <w:widowControl w:val="0"/>
      <w:spacing w:line="252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2451</Words>
  <Characters>13975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2</cp:revision>
  <cp:lastPrinted>1900-12-31T19:00:00Z</cp:lastPrinted>
  <dcterms:created xsi:type="dcterms:W3CDTF">2024-02-06T10:32:00Z</dcterms:created>
  <dcterms:modified xsi:type="dcterms:W3CDTF">2024-02-06T10:32:00Z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