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bookmarkStart w:id="0" w:name="_GoBack"/>
            <w:bookmarkEnd w:id="0"/>
            <w:r w:rsidRPr="00151000">
              <w:rPr>
                <w:b/>
                <w:bCs/>
                <w:sz w:val="24"/>
                <w:szCs w:val="24"/>
              </w:rPr>
              <w:t>ИЗВЕЩЕНИЕ О НАЧАЛЕ ВЫПОЛНЕНИЯ КОМПЛЕКСНЫХ</w:t>
            </w:r>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A04F65">
              <w:rPr>
                <w:rFonts w:ascii="Times New Roman" w:hAnsi="Times New Roman" w:cs="Times New Roman"/>
                <w:sz w:val="21"/>
                <w:szCs w:val="21"/>
                <w:lang w:eastAsia="ru-RU"/>
              </w:rPr>
              <w:t>ых</w:t>
            </w:r>
            <w:r w:rsidR="00DF7A49" w:rsidRPr="009341DE">
              <w:rPr>
                <w:rFonts w:ascii="Times New Roman" w:hAnsi="Times New Roman" w:cs="Times New Roman"/>
                <w:sz w:val="21"/>
                <w:szCs w:val="21"/>
                <w:lang w:eastAsia="ru-RU"/>
              </w:rPr>
              <w:t xml:space="preserve"> квартал</w:t>
            </w:r>
            <w:r w:rsidR="00A04F65">
              <w:rPr>
                <w:rFonts w:ascii="Times New Roman" w:hAnsi="Times New Roman" w:cs="Times New Roman"/>
                <w:sz w:val="21"/>
                <w:szCs w:val="21"/>
                <w:lang w:eastAsia="ru-RU"/>
              </w:rPr>
              <w:t>ов</w:t>
            </w:r>
            <w:r w:rsidR="00DF7A49" w:rsidRPr="009341DE">
              <w:rPr>
                <w:rFonts w:ascii="Times New Roman" w:hAnsi="Times New Roman" w:cs="Times New Roman"/>
                <w:sz w:val="21"/>
                <w:szCs w:val="21"/>
                <w:lang w:eastAsia="ru-RU"/>
              </w:rPr>
              <w:t xml:space="preserve">: </w:t>
            </w:r>
            <w:r w:rsidR="00BD6409" w:rsidRPr="00BD6409">
              <w:rPr>
                <w:rFonts w:ascii="Times New Roman" w:eastAsia="Times New Roman" w:hAnsi="Times New Roman"/>
                <w:b/>
                <w:i/>
                <w:sz w:val="21"/>
                <w:szCs w:val="21"/>
                <w:u w:val="single"/>
                <w:lang w:eastAsia="ru-RU"/>
              </w:rPr>
              <w:t>59:36:0340414</w:t>
            </w:r>
            <w:r w:rsidR="00736D66">
              <w:rPr>
                <w:rFonts w:ascii="Times New Roman" w:eastAsia="Times New Roman" w:hAnsi="Times New Roman"/>
                <w:b/>
                <w:i/>
                <w:sz w:val="21"/>
                <w:szCs w:val="21"/>
                <w:u w:val="single"/>
                <w:lang w:eastAsia="ru-RU"/>
              </w:rPr>
              <w:t xml:space="preserve"> </w:t>
            </w:r>
          </w:p>
          <w:p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BD6409">
              <w:rPr>
                <w:rFonts w:ascii="Times New Roman" w:hAnsi="Times New Roman" w:cs="Times New Roman"/>
                <w:b/>
                <w:i/>
                <w:sz w:val="21"/>
                <w:szCs w:val="21"/>
                <w:u w:val="single"/>
                <w:lang w:eastAsia="ru-RU"/>
              </w:rPr>
              <w:t>Пермский край</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A04F65">
              <w:rPr>
                <w:rFonts w:ascii="Times New Roman" w:hAnsi="Times New Roman" w:cs="Times New Roman"/>
                <w:b/>
                <w:i/>
                <w:sz w:val="21"/>
                <w:szCs w:val="21"/>
                <w:u w:val="single"/>
                <w:lang w:eastAsia="ru-RU"/>
              </w:rPr>
              <w:t xml:space="preserve"> </w:t>
            </w:r>
            <w:proofErr w:type="spellStart"/>
            <w:r w:rsidR="00BD6409" w:rsidRPr="00BD6409">
              <w:rPr>
                <w:rFonts w:ascii="Times New Roman" w:hAnsi="Times New Roman" w:cs="Times New Roman"/>
                <w:b/>
                <w:i/>
                <w:sz w:val="21"/>
                <w:szCs w:val="21"/>
                <w:u w:val="single"/>
                <w:lang w:eastAsia="ru-RU"/>
              </w:rPr>
              <w:t>Уинский</w:t>
            </w:r>
            <w:proofErr w:type="spellEnd"/>
            <w:r w:rsidR="00BD6409" w:rsidRPr="00BD6409">
              <w:rPr>
                <w:rFonts w:ascii="Times New Roman" w:hAnsi="Times New Roman" w:cs="Times New Roman"/>
                <w:b/>
                <w:i/>
                <w:sz w:val="21"/>
                <w:szCs w:val="21"/>
                <w:u w:val="single"/>
                <w:lang w:eastAsia="ru-RU"/>
              </w:rPr>
              <w:t xml:space="preserve"> муниципальный округ</w:t>
            </w:r>
            <w:r w:rsidR="00640072">
              <w:rPr>
                <w:rFonts w:ascii="Times New Roman" w:hAnsi="Times New Roman" w:cs="Times New Roman"/>
                <w:b/>
                <w:i/>
                <w:sz w:val="21"/>
                <w:szCs w:val="21"/>
                <w:u w:val="single"/>
                <w:lang w:eastAsia="ru-RU"/>
              </w:rPr>
              <w:t xml:space="preserve"> </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736D66">
              <w:rPr>
                <w:rFonts w:ascii="Times New Roman" w:hAnsi="Times New Roman" w:cs="Times New Roman"/>
                <w:sz w:val="21"/>
                <w:szCs w:val="21"/>
                <w:lang w:eastAsia="ru-RU"/>
              </w:rPr>
              <w:t xml:space="preserve"> </w:t>
            </w:r>
            <w:r w:rsidR="00BD6409" w:rsidRPr="00BD6409">
              <w:rPr>
                <w:rFonts w:ascii="Times New Roman" w:hAnsi="Times New Roman" w:cs="Times New Roman"/>
                <w:b/>
                <w:i/>
                <w:sz w:val="21"/>
                <w:szCs w:val="21"/>
                <w:u w:val="single"/>
                <w:lang w:eastAsia="ru-RU"/>
              </w:rPr>
              <w:t>0356500001423000904</w:t>
            </w:r>
            <w:r w:rsidR="00390610">
              <w:rPr>
                <w:rFonts w:ascii="Times New Roman" w:hAnsi="Times New Roman" w:cs="Times New Roman"/>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BD6409">
              <w:rPr>
                <w:rFonts w:ascii="Times New Roman" w:hAnsi="Times New Roman" w:cs="Times New Roman"/>
                <w:b/>
                <w:i/>
                <w:sz w:val="21"/>
                <w:szCs w:val="21"/>
                <w:u w:val="single"/>
              </w:rPr>
              <w:t>10.05.</w:t>
            </w:r>
            <w:r w:rsidR="00640072">
              <w:rPr>
                <w:rFonts w:ascii="Times New Roman" w:hAnsi="Times New Roman" w:cs="Times New Roman"/>
                <w:b/>
                <w:i/>
                <w:sz w:val="21"/>
                <w:szCs w:val="21"/>
                <w:u w:val="single"/>
              </w:rPr>
              <w:t>202</w:t>
            </w:r>
            <w:r w:rsidR="00822A34">
              <w:rPr>
                <w:rFonts w:ascii="Times New Roman" w:hAnsi="Times New Roman" w:cs="Times New Roman"/>
                <w:b/>
                <w:i/>
                <w:sz w:val="21"/>
                <w:szCs w:val="21"/>
                <w:u w:val="single"/>
              </w:rPr>
              <w:t>3</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BD6409">
              <w:rPr>
                <w:rFonts w:ascii="Times New Roman" w:hAnsi="Times New Roman" w:cs="Times New Roman"/>
                <w:b/>
                <w:i/>
                <w:color w:val="222222"/>
                <w:sz w:val="21"/>
                <w:szCs w:val="21"/>
                <w:u w:val="single"/>
              </w:rPr>
              <w:t>30.09</w:t>
            </w:r>
            <w:r w:rsidR="00640072">
              <w:rPr>
                <w:rFonts w:ascii="Times New Roman" w:hAnsi="Times New Roman" w:cs="Times New Roman"/>
                <w:b/>
                <w:i/>
                <w:sz w:val="21"/>
                <w:szCs w:val="21"/>
                <w:u w:val="single"/>
              </w:rPr>
              <w:t>.202</w:t>
            </w:r>
            <w:r w:rsidR="00822A34">
              <w:rPr>
                <w:rFonts w:ascii="Times New Roman" w:hAnsi="Times New Roman" w:cs="Times New Roman"/>
                <w:b/>
                <w:i/>
                <w:sz w:val="21"/>
                <w:szCs w:val="21"/>
                <w:u w:val="single"/>
              </w:rPr>
              <w:t>3</w:t>
            </w:r>
            <w:r w:rsidR="00820BAB"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640072" w:rsidRPr="00640072" w:rsidRDefault="00151000" w:rsidP="00822A34">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822A34">
              <w:rPr>
                <w:rFonts w:ascii="Times New Roman" w:hAnsi="Times New Roman" w:cs="Times New Roman"/>
                <w:color w:val="222222"/>
                <w:sz w:val="21"/>
                <w:szCs w:val="21"/>
              </w:rPr>
              <w:t xml:space="preserve"> </w:t>
            </w:r>
            <w:r w:rsidR="00BD6409" w:rsidRPr="00BD6409">
              <w:rPr>
                <w:rFonts w:ascii="Times New Roman" w:hAnsi="Times New Roman" w:cs="Times New Roman"/>
                <w:b/>
                <w:i/>
                <w:sz w:val="21"/>
                <w:szCs w:val="21"/>
                <w:u w:val="single"/>
              </w:rPr>
              <w:t xml:space="preserve">Управление имущественных и земельных отношений администрации </w:t>
            </w:r>
            <w:proofErr w:type="spellStart"/>
            <w:r w:rsidR="00BD6409" w:rsidRPr="00BD6409">
              <w:rPr>
                <w:rFonts w:ascii="Times New Roman" w:hAnsi="Times New Roman" w:cs="Times New Roman"/>
                <w:b/>
                <w:i/>
                <w:sz w:val="21"/>
                <w:szCs w:val="21"/>
                <w:u w:val="single"/>
              </w:rPr>
              <w:t>Уинского</w:t>
            </w:r>
            <w:proofErr w:type="spellEnd"/>
            <w:r w:rsidR="00BD6409" w:rsidRPr="00BD6409">
              <w:rPr>
                <w:rFonts w:ascii="Times New Roman" w:hAnsi="Times New Roman" w:cs="Times New Roman"/>
                <w:b/>
                <w:i/>
                <w:sz w:val="21"/>
                <w:szCs w:val="21"/>
                <w:u w:val="single"/>
              </w:rPr>
              <w:t xml:space="preserve"> муниципального округа Пермского края</w:t>
            </w:r>
          </w:p>
          <w:p w:rsidR="00BD6409" w:rsidRDefault="00836638" w:rsidP="00BD6409">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BD6409" w:rsidRPr="00BD6409">
              <w:rPr>
                <w:b/>
                <w:bCs/>
                <w:i/>
                <w:sz w:val="21"/>
                <w:szCs w:val="21"/>
                <w:u w:val="single"/>
              </w:rPr>
              <w:t xml:space="preserve">617520, Пермский край, с. </w:t>
            </w:r>
            <w:proofErr w:type="spellStart"/>
            <w:r w:rsidR="00BD6409" w:rsidRPr="00BD6409">
              <w:rPr>
                <w:b/>
                <w:bCs/>
                <w:i/>
                <w:sz w:val="21"/>
                <w:szCs w:val="21"/>
                <w:u w:val="single"/>
              </w:rPr>
              <w:t>Уинское</w:t>
            </w:r>
            <w:proofErr w:type="spellEnd"/>
            <w:r w:rsidR="00BD6409" w:rsidRPr="00BD6409">
              <w:rPr>
                <w:b/>
                <w:bCs/>
                <w:i/>
                <w:sz w:val="21"/>
                <w:szCs w:val="21"/>
                <w:u w:val="single"/>
              </w:rPr>
              <w:t>, ул. Коммунистическая, 1</w:t>
            </w:r>
          </w:p>
          <w:p w:rsidR="00640072" w:rsidRPr="00D078D3" w:rsidRDefault="00151000" w:rsidP="00BD6409">
            <w:pPr>
              <w:widowControl w:val="0"/>
              <w:autoSpaceDE w:val="0"/>
              <w:autoSpaceDN w:val="0"/>
              <w:adjustRightInd w:val="0"/>
              <w:rPr>
                <w:b/>
                <w:bCs/>
                <w:i/>
                <w:color w:val="0070C0"/>
                <w:sz w:val="21"/>
                <w:szCs w:val="21"/>
                <w:u w:val="single"/>
              </w:rPr>
            </w:pPr>
            <w:r w:rsidRPr="00D078D3">
              <w:rPr>
                <w:sz w:val="21"/>
                <w:szCs w:val="21"/>
              </w:rPr>
              <w:t xml:space="preserve">Адрес электронной почты </w:t>
            </w:r>
            <w:hyperlink r:id="rId5" w:history="1">
              <w:r w:rsidR="00BD6409" w:rsidRPr="00FF6DF0">
                <w:rPr>
                  <w:rStyle w:val="a4"/>
                  <w:i/>
                  <w:sz w:val="22"/>
                  <w:szCs w:val="22"/>
                </w:rPr>
                <w:t>komitet@uinsk.permkrai.ru</w:t>
              </w:r>
            </w:hyperlink>
            <w:r w:rsidR="00BD6409">
              <w:t xml:space="preserve"> </w:t>
            </w:r>
            <w:r w:rsidRPr="00D078D3">
              <w:rPr>
                <w:rStyle w:val="a4"/>
                <w:rFonts w:eastAsiaTheme="minorHAnsi"/>
                <w:i/>
                <w:u w:val="none"/>
                <w:lang w:eastAsia="en-US"/>
              </w:rPr>
              <w:t xml:space="preserve"> </w:t>
            </w:r>
            <w:r w:rsidRPr="00D078D3">
              <w:rPr>
                <w:sz w:val="21"/>
                <w:szCs w:val="21"/>
              </w:rPr>
              <w:t xml:space="preserve"> Номер контактного телефона  </w:t>
            </w:r>
            <w:r w:rsidR="00BD6409" w:rsidRPr="00BD6409">
              <w:rPr>
                <w:b/>
                <w:i/>
                <w:color w:val="000000"/>
                <w:sz w:val="21"/>
                <w:szCs w:val="21"/>
                <w:u w:val="single"/>
                <w:shd w:val="clear" w:color="auto" w:fill="FFFFFF"/>
              </w:rPr>
              <w:t>8</w:t>
            </w:r>
            <w:r w:rsidR="00BD6409">
              <w:rPr>
                <w:b/>
                <w:i/>
                <w:color w:val="000000"/>
                <w:sz w:val="21"/>
                <w:szCs w:val="21"/>
                <w:u w:val="single"/>
                <w:shd w:val="clear" w:color="auto" w:fill="FFFFFF"/>
              </w:rPr>
              <w:t>(</w:t>
            </w:r>
            <w:r w:rsidR="00BD6409" w:rsidRPr="00BD6409">
              <w:rPr>
                <w:b/>
                <w:i/>
                <w:color w:val="000000"/>
                <w:sz w:val="21"/>
                <w:szCs w:val="21"/>
                <w:u w:val="single"/>
                <w:shd w:val="clear" w:color="auto" w:fill="FFFFFF"/>
              </w:rPr>
              <w:t>34259</w:t>
            </w:r>
            <w:r w:rsidR="00BD6409">
              <w:rPr>
                <w:b/>
                <w:i/>
                <w:color w:val="000000"/>
                <w:sz w:val="21"/>
                <w:szCs w:val="21"/>
                <w:u w:val="single"/>
                <w:shd w:val="clear" w:color="auto" w:fill="FFFFFF"/>
              </w:rPr>
              <w:t xml:space="preserve">) </w:t>
            </w:r>
            <w:r w:rsidR="00BD6409" w:rsidRPr="00BD6409">
              <w:rPr>
                <w:b/>
                <w:i/>
                <w:color w:val="000000"/>
                <w:sz w:val="21"/>
                <w:szCs w:val="21"/>
                <w:u w:val="single"/>
                <w:shd w:val="clear" w:color="auto" w:fill="FFFFFF"/>
              </w:rPr>
              <w:t>2-38-06</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г.Киров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6"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693"/>
              <w:gridCol w:w="6946"/>
              <w:gridCol w:w="1843"/>
            </w:tblGrid>
            <w:tr w:rsidR="00151000" w:rsidTr="00D078D3">
              <w:trPr>
                <w:trHeight w:val="205"/>
                <w:tblHeader/>
              </w:trPr>
              <w:tc>
                <w:tcPr>
                  <w:tcW w:w="1693"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6946"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843"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BD6409">
              <w:trPr>
                <w:trHeight w:val="523"/>
              </w:trPr>
              <w:tc>
                <w:tcPr>
                  <w:tcW w:w="1693" w:type="dxa"/>
                  <w:vAlign w:val="center"/>
                </w:tcPr>
                <w:p w:rsidR="00FC73C9" w:rsidRPr="00D078D3" w:rsidRDefault="00BD6409" w:rsidP="00BD6409">
                  <w:pPr>
                    <w:tabs>
                      <w:tab w:val="left" w:pos="11055"/>
                    </w:tabs>
                    <w:jc w:val="center"/>
                    <w:rPr>
                      <w:rFonts w:eastAsia="Calibri"/>
                      <w:sz w:val="20"/>
                    </w:rPr>
                  </w:pPr>
                  <w:r>
                    <w:rPr>
                      <w:rFonts w:eastAsia="Calibri"/>
                      <w:sz w:val="20"/>
                    </w:rPr>
                    <w:t>10.50</w:t>
                  </w:r>
                  <w:r w:rsidR="00822A34" w:rsidRPr="00D078D3">
                    <w:rPr>
                      <w:rFonts w:eastAsia="Calibri"/>
                      <w:sz w:val="20"/>
                    </w:rPr>
                    <w:t xml:space="preserve">.2023 по </w:t>
                  </w:r>
                  <w:r>
                    <w:rPr>
                      <w:rFonts w:eastAsia="Calibri"/>
                      <w:sz w:val="20"/>
                    </w:rPr>
                    <w:t>30.09</w:t>
                  </w:r>
                  <w:r w:rsidR="00822A34" w:rsidRPr="00D078D3">
                    <w:rPr>
                      <w:rFonts w:eastAsia="Calibri"/>
                      <w:sz w:val="20"/>
                    </w:rPr>
                    <w:t>.2023</w:t>
                  </w:r>
                </w:p>
              </w:tc>
              <w:tc>
                <w:tcPr>
                  <w:tcW w:w="6946" w:type="dxa"/>
                  <w:vAlign w:val="center"/>
                </w:tcPr>
                <w:p w:rsidR="00822A34" w:rsidRPr="00D078D3" w:rsidRDefault="00BB27AC" w:rsidP="00BD6409">
                  <w:pPr>
                    <w:ind w:left="75" w:right="75"/>
                    <w:jc w:val="center"/>
                    <w:rPr>
                      <w:sz w:val="20"/>
                    </w:rPr>
                  </w:pPr>
                  <w:r w:rsidRPr="00D078D3">
                    <w:rPr>
                      <w:sz w:val="20"/>
                    </w:rPr>
                    <w:t>К</w:t>
                  </w:r>
                  <w:r w:rsidR="00DE7FE0" w:rsidRPr="00D078D3">
                    <w:rPr>
                      <w:sz w:val="20"/>
                    </w:rPr>
                    <w:t xml:space="preserve">адастровый квартал </w:t>
                  </w:r>
                  <w:r w:rsidR="00BD6409" w:rsidRPr="00BD6409">
                    <w:rPr>
                      <w:sz w:val="20"/>
                    </w:rPr>
                    <w:t>59:36:0340414</w:t>
                  </w:r>
                  <w:r w:rsidRPr="00D078D3">
                    <w:rPr>
                      <w:sz w:val="20"/>
                    </w:rPr>
                    <w:t xml:space="preserve">, расположенный </w:t>
                  </w:r>
                  <w:r w:rsidR="00BD6409" w:rsidRPr="00BD6409">
                    <w:rPr>
                      <w:sz w:val="20"/>
                    </w:rPr>
                    <w:t xml:space="preserve">Пермский край, </w:t>
                  </w:r>
                  <w:proofErr w:type="spellStart"/>
                  <w:r w:rsidR="00BD6409" w:rsidRPr="00BD6409">
                    <w:rPr>
                      <w:sz w:val="20"/>
                    </w:rPr>
                    <w:t>Уинский</w:t>
                  </w:r>
                  <w:proofErr w:type="spellEnd"/>
                  <w:r w:rsidR="00BD6409" w:rsidRPr="00BD6409">
                    <w:rPr>
                      <w:sz w:val="20"/>
                    </w:rPr>
                    <w:t xml:space="preserve"> муниципальный округ, с. </w:t>
                  </w:r>
                  <w:proofErr w:type="spellStart"/>
                  <w:r w:rsidR="00BD6409" w:rsidRPr="00BD6409">
                    <w:rPr>
                      <w:sz w:val="20"/>
                    </w:rPr>
                    <w:t>Уинское</w:t>
                  </w:r>
                  <w:proofErr w:type="spellEnd"/>
                </w:p>
              </w:tc>
              <w:tc>
                <w:tcPr>
                  <w:tcW w:w="1843" w:type="dxa"/>
                  <w:vAlign w:val="center"/>
                </w:tcPr>
                <w:p w:rsidR="00FC73C9" w:rsidRPr="00D078D3" w:rsidRDefault="00FC73C9" w:rsidP="00BD6409">
                  <w:pPr>
                    <w:tabs>
                      <w:tab w:val="left" w:pos="11055"/>
                    </w:tabs>
                    <w:jc w:val="center"/>
                    <w:rPr>
                      <w:rFonts w:eastAsia="Calibri"/>
                      <w:sz w:val="20"/>
                      <w:shd w:val="clear" w:color="auto" w:fill="FFFFFF"/>
                    </w:rPr>
                  </w:pPr>
                  <w:r w:rsidRPr="00D078D3">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EB2A8D">
        <w:trPr>
          <w:trHeight w:val="434"/>
        </w:trPr>
        <w:tc>
          <w:tcPr>
            <w:tcW w:w="10916" w:type="dxa"/>
            <w:gridSpan w:val="5"/>
            <w:shd w:val="clear" w:color="auto" w:fill="FFFFFF"/>
            <w:hideMark/>
          </w:tcPr>
          <w:p w:rsidR="00A02DBF" w:rsidRPr="00D078D3" w:rsidRDefault="00151000" w:rsidP="00836638">
            <w:pPr>
              <w:spacing w:before="75" w:after="75"/>
              <w:ind w:left="75" w:right="75"/>
              <w:jc w:val="both"/>
              <w:rPr>
                <w:b/>
                <w:sz w:val="22"/>
                <w:szCs w:val="22"/>
              </w:rPr>
            </w:pPr>
            <w:r w:rsidRPr="00D078D3">
              <w:rPr>
                <w:b/>
                <w:sz w:val="22"/>
                <w:szCs w:val="22"/>
              </w:rPr>
              <w:t>В связи с выполнением комплексных кадастровых работ про</w:t>
            </w:r>
            <w:r w:rsidR="00AD0D96" w:rsidRPr="00D078D3">
              <w:rPr>
                <w:b/>
                <w:sz w:val="22"/>
                <w:szCs w:val="22"/>
              </w:rPr>
              <w:t xml:space="preserve">сим </w:t>
            </w:r>
            <w:r w:rsidRPr="00D078D3">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BD6409" w:rsidRPr="00BD6409" w:rsidRDefault="00BD6409" w:rsidP="00BD6409">
            <w:pPr>
              <w:ind w:left="75" w:right="75"/>
              <w:jc w:val="both"/>
              <w:rPr>
                <w:sz w:val="18"/>
                <w:szCs w:val="18"/>
              </w:rPr>
            </w:pPr>
            <w:r w:rsidRPr="00BD6409">
              <w:rPr>
                <w:sz w:val="18"/>
                <w:szCs w:val="18"/>
              </w:rPr>
              <w:t>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BD6409" w:rsidRPr="00BD6409" w:rsidRDefault="00BD6409" w:rsidP="00BD6409">
            <w:pPr>
              <w:ind w:left="75" w:right="75"/>
              <w:jc w:val="both"/>
              <w:rPr>
                <w:sz w:val="18"/>
                <w:szCs w:val="18"/>
              </w:rPr>
            </w:pPr>
            <w:r w:rsidRPr="00BD6409">
              <w:rPr>
                <w:sz w:val="18"/>
                <w:szCs w:val="18"/>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9341DE" w:rsidRDefault="00151000" w:rsidP="00BD6409">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7"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rsidR="009341DE" w:rsidRPr="00000FFE" w:rsidRDefault="009341DE" w:rsidP="009341DE">
            <w:pPr>
              <w:ind w:left="75" w:right="75"/>
              <w:jc w:val="both"/>
              <w:rPr>
                <w:b/>
                <w:sz w:val="24"/>
                <w:szCs w:val="24"/>
              </w:rPr>
            </w:pP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00"/>
    <w:rsid w:val="00000FFE"/>
    <w:rsid w:val="000D3378"/>
    <w:rsid w:val="00151000"/>
    <w:rsid w:val="00190A10"/>
    <w:rsid w:val="001A3437"/>
    <w:rsid w:val="001B23BD"/>
    <w:rsid w:val="001D5BC6"/>
    <w:rsid w:val="001E3AC0"/>
    <w:rsid w:val="0029660C"/>
    <w:rsid w:val="002A21CA"/>
    <w:rsid w:val="002C68C9"/>
    <w:rsid w:val="003303FA"/>
    <w:rsid w:val="0035214D"/>
    <w:rsid w:val="0037239B"/>
    <w:rsid w:val="00390610"/>
    <w:rsid w:val="004906B3"/>
    <w:rsid w:val="00510B15"/>
    <w:rsid w:val="00524993"/>
    <w:rsid w:val="00540C65"/>
    <w:rsid w:val="005C0805"/>
    <w:rsid w:val="00640072"/>
    <w:rsid w:val="00664481"/>
    <w:rsid w:val="00681035"/>
    <w:rsid w:val="00683A6E"/>
    <w:rsid w:val="006E7C43"/>
    <w:rsid w:val="007016B0"/>
    <w:rsid w:val="00736D66"/>
    <w:rsid w:val="00774D39"/>
    <w:rsid w:val="00820BAB"/>
    <w:rsid w:val="00822A34"/>
    <w:rsid w:val="0083526A"/>
    <w:rsid w:val="00836638"/>
    <w:rsid w:val="008B48D8"/>
    <w:rsid w:val="008F2EE3"/>
    <w:rsid w:val="0092107C"/>
    <w:rsid w:val="009341DE"/>
    <w:rsid w:val="00A02DBF"/>
    <w:rsid w:val="00A04F65"/>
    <w:rsid w:val="00A20B44"/>
    <w:rsid w:val="00A240DD"/>
    <w:rsid w:val="00A34DE8"/>
    <w:rsid w:val="00AD0D96"/>
    <w:rsid w:val="00B011E3"/>
    <w:rsid w:val="00BB27AC"/>
    <w:rsid w:val="00BD6409"/>
    <w:rsid w:val="00C555DD"/>
    <w:rsid w:val="00C80889"/>
    <w:rsid w:val="00D078D3"/>
    <w:rsid w:val="00D11F91"/>
    <w:rsid w:val="00DE7FE0"/>
    <w:rsid w:val="00DF7A49"/>
    <w:rsid w:val="00E14AFF"/>
    <w:rsid w:val="00E238C5"/>
    <w:rsid w:val="00EA094D"/>
    <w:rsid w:val="00EB2A8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87DFA-B065-4024-9EEB-84E0A300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9808146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elkina@ooozemlem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5" Type="http://schemas.openxmlformats.org/officeDocument/2006/relationships/hyperlink" Target="mailto:komitet@uinsk.permkra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8B03-9293-4FEA-919D-5A6F94B7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Osetrova</cp:lastModifiedBy>
  <cp:revision>2</cp:revision>
  <cp:lastPrinted>2020-05-12T12:53:00Z</cp:lastPrinted>
  <dcterms:created xsi:type="dcterms:W3CDTF">2023-05-19T07:21:00Z</dcterms:created>
  <dcterms:modified xsi:type="dcterms:W3CDTF">2023-05-19T07:21:00Z</dcterms:modified>
</cp:coreProperties>
</file>