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F4" w:rsidRPr="009A0EF4" w:rsidRDefault="009A0EF4" w:rsidP="009A0EF4">
      <w:pPr>
        <w:ind w:firstLine="709"/>
        <w:jc w:val="center"/>
        <w:rPr>
          <w:rFonts w:eastAsia="Calibri"/>
          <w:b/>
          <w:bCs/>
        </w:rPr>
      </w:pPr>
      <w:r w:rsidRPr="009A0EF4">
        <w:rPr>
          <w:rFonts w:eastAsia="Calibri"/>
          <w:b/>
          <w:bCs/>
        </w:rPr>
        <w:t>ЦЕНТРАЛЬНЫЙ БАНК РОССИЙСКОЙ ФЕДЕРАЦИИ</w:t>
      </w:r>
    </w:p>
    <w:p w:rsidR="009A0EF4" w:rsidRPr="009A0EF4" w:rsidRDefault="009A0EF4" w:rsidP="009A0EF4">
      <w:pPr>
        <w:ind w:firstLine="709"/>
        <w:jc w:val="center"/>
        <w:rPr>
          <w:rFonts w:eastAsia="Calibri"/>
          <w:b/>
          <w:bCs/>
        </w:rPr>
      </w:pPr>
      <w:r w:rsidRPr="009A0EF4">
        <w:rPr>
          <w:rFonts w:eastAsia="Calibri"/>
          <w:b/>
          <w:bCs/>
        </w:rPr>
        <w:t>(БАНК РОССИИ)</w:t>
      </w:r>
    </w:p>
    <w:p w:rsidR="009A0EF4" w:rsidRPr="009A0EF4" w:rsidRDefault="009A0EF4" w:rsidP="009A0EF4">
      <w:pPr>
        <w:ind w:firstLine="709"/>
        <w:jc w:val="center"/>
        <w:rPr>
          <w:rFonts w:eastAsia="Calibri"/>
          <w:b/>
          <w:bCs/>
        </w:rPr>
      </w:pPr>
    </w:p>
    <w:p w:rsidR="009A0EF4" w:rsidRPr="009A0EF4" w:rsidRDefault="009A0EF4" w:rsidP="009A0EF4">
      <w:pPr>
        <w:ind w:firstLine="709"/>
        <w:jc w:val="center"/>
        <w:rPr>
          <w:rFonts w:eastAsia="Calibri"/>
          <w:b/>
          <w:bCs/>
        </w:rPr>
      </w:pPr>
      <w:r w:rsidRPr="009A0EF4">
        <w:rPr>
          <w:rFonts w:eastAsia="Calibri"/>
          <w:b/>
          <w:bCs/>
        </w:rPr>
        <w:t>Отделение по Пермскому краю Уральского главного управления</w:t>
      </w:r>
    </w:p>
    <w:p w:rsidR="009A0EF4" w:rsidRPr="009A0EF4" w:rsidRDefault="009A0EF4" w:rsidP="009A0EF4">
      <w:pPr>
        <w:ind w:firstLine="709"/>
        <w:jc w:val="center"/>
        <w:rPr>
          <w:rFonts w:eastAsia="Calibri"/>
        </w:rPr>
      </w:pPr>
      <w:r w:rsidRPr="009A0EF4">
        <w:rPr>
          <w:rFonts w:eastAsia="Calibri"/>
        </w:rPr>
        <w:t>614990, г. Пермь, ул. Ленина, 19</w:t>
      </w:r>
    </w:p>
    <w:p w:rsidR="009A0EF4" w:rsidRPr="009A0EF4" w:rsidRDefault="008574C6" w:rsidP="009A0EF4">
      <w:pPr>
        <w:spacing w:after="200" w:line="276" w:lineRule="auto"/>
        <w:contextualSpacing/>
        <w:jc w:val="center"/>
        <w:rPr>
          <w:rFonts w:eastAsia="Calibri"/>
          <w:color w:val="0000FF"/>
          <w:u w:val="single"/>
        </w:rPr>
      </w:pPr>
      <w:hyperlink r:id="rId7" w:history="1">
        <w:r w:rsidR="009A0EF4" w:rsidRPr="009A0EF4">
          <w:rPr>
            <w:rFonts w:eastAsia="Calibri"/>
            <w:color w:val="0000FF"/>
            <w:u w:val="single"/>
            <w:lang w:val="en-US"/>
          </w:rPr>
          <w:t>www</w:t>
        </w:r>
        <w:r w:rsidR="009A0EF4" w:rsidRPr="009A0EF4">
          <w:rPr>
            <w:rFonts w:eastAsia="Calibri"/>
            <w:color w:val="0000FF"/>
            <w:u w:val="single"/>
          </w:rPr>
          <w:t>.</w:t>
        </w:r>
        <w:r w:rsidR="009A0EF4" w:rsidRPr="009A0EF4">
          <w:rPr>
            <w:rFonts w:eastAsia="Calibri"/>
            <w:color w:val="0000FF"/>
            <w:u w:val="single"/>
            <w:lang w:val="en-US"/>
          </w:rPr>
          <w:t>cbr</w:t>
        </w:r>
        <w:r w:rsidR="009A0EF4" w:rsidRPr="009A0EF4">
          <w:rPr>
            <w:rFonts w:eastAsia="Calibri"/>
            <w:color w:val="0000FF"/>
            <w:u w:val="single"/>
          </w:rPr>
          <w:t>.</w:t>
        </w:r>
        <w:r w:rsidR="009A0EF4" w:rsidRPr="009A0EF4">
          <w:rPr>
            <w:rFonts w:eastAsia="Calibri"/>
            <w:color w:val="0000FF"/>
            <w:u w:val="single"/>
            <w:lang w:val="en-US"/>
          </w:rPr>
          <w:t>ru</w:t>
        </w:r>
      </w:hyperlink>
    </w:p>
    <w:p w:rsidR="009A0EF4" w:rsidRPr="009A0EF4" w:rsidRDefault="009A0EF4" w:rsidP="009A0EF4">
      <w:pPr>
        <w:spacing w:after="200" w:line="276" w:lineRule="auto"/>
        <w:contextualSpacing/>
        <w:jc w:val="center"/>
        <w:rPr>
          <w:rFonts w:eastAsia="Calibri"/>
          <w:color w:val="0000FF"/>
          <w:u w:val="single"/>
        </w:rPr>
      </w:pPr>
    </w:p>
    <w:p w:rsidR="009A0EF4" w:rsidRPr="009A0EF4" w:rsidRDefault="009A0EF4" w:rsidP="009A0EF4">
      <w:pPr>
        <w:spacing w:after="160" w:line="259" w:lineRule="auto"/>
        <w:ind w:firstLine="567"/>
        <w:jc w:val="center"/>
        <w:rPr>
          <w:b/>
          <w:bCs/>
          <w:lang w:eastAsia="en-US"/>
        </w:rPr>
      </w:pPr>
      <w:r w:rsidRPr="009A0EF4">
        <w:rPr>
          <w:rFonts w:eastAsia="Times New Roman"/>
          <w:b/>
          <w:bCs/>
          <w:sz w:val="28"/>
          <w:szCs w:val="28"/>
        </w:rPr>
        <w:t>Пресс-релиз</w:t>
      </w:r>
    </w:p>
    <w:p w:rsidR="009A0EF4" w:rsidRDefault="009A0EF4" w:rsidP="00F665E9">
      <w:pPr>
        <w:ind w:firstLine="567"/>
        <w:jc w:val="both"/>
        <w:rPr>
          <w:b/>
        </w:rPr>
      </w:pPr>
    </w:p>
    <w:p w:rsidR="000A07AB" w:rsidRPr="00690BF0" w:rsidRDefault="000A07AB" w:rsidP="000A07AB">
      <w:pPr>
        <w:ind w:firstLine="567"/>
        <w:jc w:val="both"/>
        <w:rPr>
          <w:b/>
        </w:rPr>
      </w:pPr>
      <w:r w:rsidRPr="000A07AB">
        <w:rPr>
          <w:b/>
        </w:rPr>
        <w:t xml:space="preserve">Мошенники начали приглашать пермяков на «личный </w:t>
      </w:r>
      <w:r w:rsidR="00690BF0">
        <w:rPr>
          <w:b/>
        </w:rPr>
        <w:t>прием в Центробанк»</w:t>
      </w:r>
      <w:bookmarkStart w:id="0" w:name="_GoBack"/>
      <w:bookmarkEnd w:id="0"/>
    </w:p>
    <w:p w:rsidR="000A07AB" w:rsidRPr="000A07AB" w:rsidRDefault="000A07AB" w:rsidP="000A07AB">
      <w:pPr>
        <w:ind w:firstLine="567"/>
        <w:jc w:val="both"/>
        <w:rPr>
          <w:b/>
        </w:rPr>
      </w:pPr>
    </w:p>
    <w:p w:rsidR="000A07AB" w:rsidRPr="000A07AB" w:rsidRDefault="000A07AB" w:rsidP="000A07AB">
      <w:pPr>
        <w:spacing w:line="276" w:lineRule="auto"/>
        <w:ind w:firstLine="567"/>
        <w:jc w:val="both"/>
      </w:pPr>
      <w:r w:rsidRPr="000A07AB">
        <w:t xml:space="preserve">Банк России предупреждает жителей Пермского края о новой схеме мошенничества. </w:t>
      </w:r>
    </w:p>
    <w:p w:rsidR="000A07AB" w:rsidRPr="000A07AB" w:rsidRDefault="000A07AB" w:rsidP="000A07AB">
      <w:pPr>
        <w:spacing w:line="276" w:lineRule="auto"/>
        <w:ind w:firstLine="567"/>
        <w:jc w:val="both"/>
      </w:pPr>
      <w:r w:rsidRPr="000A07AB">
        <w:t xml:space="preserve">Злоумышленники, которые представляются якобы сотрудниками Банка России, усовершенствовали эту распространенную мошенническую схему. Новая легенда обмана, которую преступники используют по всей стране, выглядит очень правдоподобно. Теперь они не только звонят гражданам от имени Центробанка, но еще и отправляют на электронную почту сообщения с приглашением на личный прием в Банк России. Письма начинаются с обращения по имени и отчеству, в них указывается время приема и настоящий адрес Банка России в регионе проживания потенциальной жертвы. </w:t>
      </w:r>
    </w:p>
    <w:p w:rsidR="000A07AB" w:rsidRPr="000A07AB" w:rsidRDefault="000A07AB" w:rsidP="000A07AB">
      <w:pPr>
        <w:spacing w:line="276" w:lineRule="auto"/>
        <w:ind w:firstLine="567"/>
        <w:jc w:val="both"/>
      </w:pPr>
      <w:r w:rsidRPr="000A07AB">
        <w:t xml:space="preserve">Чтобы убедить человека, что с ним взаимодействуют настоящие сотрудники Банка России, мошенники используют специальный технический прием – меняют электронный адрес того, кто отправляет сообщение, на вызывающий доверие. В данном случае злоумышленники указывают домен Банка России cbr.ru. </w:t>
      </w:r>
    </w:p>
    <w:p w:rsidR="000A07AB" w:rsidRPr="000A07AB" w:rsidRDefault="000A07AB" w:rsidP="000A07AB">
      <w:pPr>
        <w:spacing w:line="276" w:lineRule="auto"/>
        <w:ind w:firstLine="567"/>
        <w:jc w:val="both"/>
      </w:pPr>
      <w:r w:rsidRPr="000A07AB">
        <w:t>Это очень опасная схема действий, и часто из-за доверия к электронному адресу люди попадаются на уловки с подменой. Персональное приглашение на личный прием – один из поводов вступить в контакт с потенциальной жертвой, вывести ее на доверительный диалог. После отправки письма аферисты могут позвонить получателю и под различными предлогами выманить данные его банковской карты и СМС-код либо побудить перевести деньги на счета злоумышленников.</w:t>
      </w:r>
    </w:p>
    <w:p w:rsidR="000A07AB" w:rsidRPr="000A07AB" w:rsidRDefault="000A07AB" w:rsidP="000A07AB">
      <w:pPr>
        <w:spacing w:line="276" w:lineRule="auto"/>
        <w:ind w:firstLine="567"/>
        <w:jc w:val="both"/>
        <w:rPr>
          <w:b/>
          <w:i/>
        </w:rPr>
      </w:pPr>
      <w:r w:rsidRPr="000A07AB">
        <w:rPr>
          <w:b/>
          <w:i/>
        </w:rPr>
        <w:t>Что предпринять?</w:t>
      </w:r>
    </w:p>
    <w:p w:rsidR="000A07AB" w:rsidRPr="000A07AB" w:rsidRDefault="000A07AB" w:rsidP="000A07AB">
      <w:pPr>
        <w:spacing w:line="276" w:lineRule="auto"/>
        <w:ind w:firstLine="567"/>
        <w:jc w:val="both"/>
      </w:pPr>
      <w:r w:rsidRPr="000A07AB">
        <w:t xml:space="preserve">Если вы не записывались на прием в Банк России, но получили подобное приглашение, не реагируйте на него и удалите сообщение. Для уточнения любых вопросов можно позвонить в контактный центр Банка России по бесплатному номеру 8 (800) 300-30-00 (для звонков с мобильного – короткий номер 300). </w:t>
      </w:r>
    </w:p>
    <w:p w:rsidR="000A07AB" w:rsidRDefault="000A07AB" w:rsidP="000A07AB">
      <w:pPr>
        <w:spacing w:line="276" w:lineRule="auto"/>
        <w:ind w:firstLine="567"/>
        <w:jc w:val="both"/>
      </w:pPr>
      <w:r w:rsidRPr="000A07AB">
        <w:t xml:space="preserve">Банк России по своей инициативе не приглашает граждан на личный прием, его работники не звонят людям и не направляют никому копии каких-либо документов, не запрашивают персональные и банковские сведения, не предлагают совершить какие-либо операции со счетом. Будьте бдительны, мошенники часто представляются сотрудниками Банка России. По любым банковским вопросам самостоятельно позвоните в банк по номеру телефона, указанному на оборотной стороне </w:t>
      </w:r>
      <w:r w:rsidR="00C767F9">
        <w:t xml:space="preserve">банковской </w:t>
      </w:r>
      <w:r w:rsidRPr="000A07AB">
        <w:t>карты или на сайте кредитной организации.</w:t>
      </w:r>
    </w:p>
    <w:p w:rsidR="009A0EF4" w:rsidRDefault="00F665E9" w:rsidP="000A07AB">
      <w:pPr>
        <w:spacing w:line="276" w:lineRule="auto"/>
        <w:ind w:firstLine="567"/>
        <w:jc w:val="both"/>
        <w:rPr>
          <w:lang w:eastAsia="en-US"/>
        </w:rPr>
      </w:pPr>
      <w:r>
        <w:t xml:space="preserve">С наиболее распространенными мошенническими схемами можно ознакомиться на </w:t>
      </w:r>
      <w:hyperlink r:id="rId8" w:history="1">
        <w:r w:rsidR="009A0EF4" w:rsidRPr="009A0EF4">
          <w:rPr>
            <w:color w:val="0563C1"/>
            <w:u w:val="single"/>
            <w:lang w:eastAsia="en-US"/>
          </w:rPr>
          <w:t>сайте Банка России</w:t>
        </w:r>
      </w:hyperlink>
      <w:r w:rsidR="009A0EF4" w:rsidRPr="009A0EF4">
        <w:rPr>
          <w:lang w:eastAsia="en-US"/>
        </w:rPr>
        <w:t xml:space="preserve"> (</w:t>
      </w:r>
      <w:hyperlink r:id="rId9" w:history="1">
        <w:r w:rsidR="009A0EF4" w:rsidRPr="009A0EF4">
          <w:rPr>
            <w:color w:val="0563C1"/>
            <w:u w:val="single"/>
            <w:lang w:eastAsia="en-US"/>
          </w:rPr>
          <w:t>http://www.cbr.ru/information_security/pmp/</w:t>
        </w:r>
      </w:hyperlink>
      <w:r w:rsidR="009A0EF4" w:rsidRPr="009A0EF4">
        <w:rPr>
          <w:lang w:eastAsia="en-US"/>
        </w:rPr>
        <w:t>).</w:t>
      </w:r>
    </w:p>
    <w:p w:rsidR="00F90264" w:rsidRPr="00F90264" w:rsidRDefault="00F90264" w:rsidP="00F90264">
      <w:pPr>
        <w:spacing w:after="160" w:line="259" w:lineRule="auto"/>
        <w:rPr>
          <w:lang w:eastAsia="en-US"/>
        </w:rPr>
      </w:pPr>
      <w:r>
        <w:rPr>
          <w:lang w:eastAsia="en-US"/>
        </w:rPr>
        <w:br w:type="page"/>
      </w:r>
    </w:p>
    <w:p w:rsidR="009B1DA2" w:rsidRPr="009B1DA2" w:rsidRDefault="009B1DA2" w:rsidP="009B1DA2">
      <w:pPr>
        <w:ind w:firstLine="567"/>
        <w:jc w:val="both"/>
        <w:rPr>
          <w:rFonts w:eastAsia="Calibri"/>
          <w:b/>
          <w:lang w:eastAsia="en-US"/>
        </w:rPr>
      </w:pPr>
      <w:r w:rsidRPr="009B1DA2">
        <w:rPr>
          <w:rFonts w:eastAsia="Calibri"/>
          <w:b/>
          <w:lang w:eastAsia="en-US"/>
        </w:rPr>
        <w:lastRenderedPageBreak/>
        <w:t>Банки будут возвращать клиентам переведенные мошенникам деньги</w:t>
      </w:r>
    </w:p>
    <w:p w:rsidR="009B1DA2" w:rsidRPr="009B1DA2" w:rsidRDefault="009B1DA2" w:rsidP="009B1DA2">
      <w:pPr>
        <w:ind w:firstLine="567"/>
        <w:jc w:val="both"/>
        <w:rPr>
          <w:rFonts w:eastAsia="Calibri"/>
          <w:lang w:eastAsia="en-US"/>
        </w:rPr>
      </w:pPr>
    </w:p>
    <w:p w:rsidR="009B1DA2" w:rsidRPr="009B1DA2" w:rsidRDefault="009B1DA2" w:rsidP="009B1DA2">
      <w:pPr>
        <w:spacing w:line="276" w:lineRule="auto"/>
        <w:ind w:firstLine="567"/>
        <w:jc w:val="both"/>
        <w:rPr>
          <w:rFonts w:eastAsia="Calibri"/>
          <w:lang w:eastAsia="en-US"/>
        </w:rPr>
      </w:pPr>
      <w:r w:rsidRPr="009B1DA2">
        <w:rPr>
          <w:rFonts w:eastAsia="Calibri"/>
          <w:lang w:eastAsia="en-US"/>
        </w:rPr>
        <w:t xml:space="preserve">Возместить клиенту деньги банк будет обязан, если </w:t>
      </w:r>
      <w:r>
        <w:rPr>
          <w:rFonts w:eastAsia="Calibri"/>
          <w:lang w:eastAsia="en-US"/>
        </w:rPr>
        <w:t>кредитная организация</w:t>
      </w:r>
      <w:r w:rsidRPr="009B1DA2">
        <w:rPr>
          <w:rFonts w:eastAsia="Calibri"/>
          <w:lang w:eastAsia="en-US"/>
        </w:rPr>
        <w:t xml:space="preserve"> допустил</w:t>
      </w:r>
      <w:r>
        <w:rPr>
          <w:rFonts w:eastAsia="Calibri"/>
          <w:lang w:eastAsia="en-US"/>
        </w:rPr>
        <w:t>а</w:t>
      </w:r>
      <w:r w:rsidRPr="009B1DA2">
        <w:rPr>
          <w:rFonts w:eastAsia="Calibri"/>
          <w:lang w:eastAsia="en-US"/>
        </w:rPr>
        <w:t xml:space="preserve"> перевод средств на мошеннический счет, который находится в специальной базе Банка России. Сделать это он должен будет в течение 30 календарных дней после получения заявления от пострадавшего. Такой закон приняла Государственная Дума.</w:t>
      </w:r>
    </w:p>
    <w:p w:rsidR="009B1DA2" w:rsidRPr="009B1DA2" w:rsidRDefault="009B1DA2" w:rsidP="009B1DA2">
      <w:pPr>
        <w:spacing w:line="276" w:lineRule="auto"/>
        <w:ind w:firstLine="567"/>
        <w:jc w:val="both"/>
        <w:rPr>
          <w:rFonts w:eastAsia="Calibri"/>
          <w:lang w:eastAsia="en-US"/>
        </w:rPr>
      </w:pPr>
      <w:r w:rsidRPr="009B1DA2">
        <w:rPr>
          <w:rFonts w:eastAsia="Calibri"/>
          <w:lang w:eastAsia="en-US"/>
        </w:rPr>
        <w:t>Документ также предусматривает двухдневный период охлаждения, в течение которого банк не будет переводить деньги на подозрительный счет. О сомнительной операции он уведомит клиента. За это время человек, находящийся под влиянием злоумышленников, сможет одуматься и не подтверждать перевод.</w:t>
      </w:r>
    </w:p>
    <w:p w:rsidR="009B1DA2" w:rsidRPr="009B1DA2" w:rsidRDefault="009B1DA2" w:rsidP="009B1DA2">
      <w:pPr>
        <w:spacing w:line="276" w:lineRule="auto"/>
        <w:ind w:firstLine="567"/>
        <w:jc w:val="both"/>
        <w:rPr>
          <w:rFonts w:eastAsia="Calibri"/>
          <w:lang w:eastAsia="en-US"/>
        </w:rPr>
      </w:pPr>
      <w:r w:rsidRPr="009B1DA2">
        <w:rPr>
          <w:rFonts w:eastAsia="Calibri"/>
          <w:lang w:eastAsia="en-US"/>
        </w:rPr>
        <w:t xml:space="preserve">Кроме того, банки </w:t>
      </w:r>
      <w:r w:rsidR="00C767F9">
        <w:rPr>
          <w:rFonts w:eastAsia="Calibri"/>
          <w:lang w:eastAsia="en-US"/>
        </w:rPr>
        <w:t>будут обязаны</w:t>
      </w:r>
      <w:r w:rsidRPr="009B1DA2">
        <w:rPr>
          <w:rFonts w:eastAsia="Calibri"/>
          <w:lang w:eastAsia="en-US"/>
        </w:rPr>
        <w:t xml:space="preserve"> отключать доступ к дистанционному обслуживанию лицам, которые занимаются выводом и обналичиванием похищенных денег, если информация о совершенных противоправных действиях поступила от МВД России. Сведения о так называемых дропперах банки сейчас получают из базы данных регулятора.</w:t>
      </w:r>
    </w:p>
    <w:p w:rsidR="009B1DA2" w:rsidRPr="009B1DA2" w:rsidRDefault="009B1DA2" w:rsidP="009B1DA2">
      <w:pPr>
        <w:spacing w:line="276" w:lineRule="auto"/>
        <w:ind w:firstLine="567"/>
        <w:jc w:val="both"/>
        <w:rPr>
          <w:rFonts w:eastAsia="Calibri"/>
          <w:lang w:eastAsia="en-US"/>
        </w:rPr>
      </w:pPr>
      <w:r w:rsidRPr="009B1DA2">
        <w:rPr>
          <w:rFonts w:eastAsia="Calibri"/>
          <w:lang w:eastAsia="en-US"/>
        </w:rPr>
        <w:t>Закон вступит в силу через год после официального опубликования. За это время все стороны информационного обмена усовершенствуют свои автоматизированные системы и бизнес-процессы.</w:t>
      </w:r>
    </w:p>
    <w:p w:rsidR="009A0EF4" w:rsidRDefault="009B1DA2" w:rsidP="009B1DA2">
      <w:pPr>
        <w:spacing w:line="276" w:lineRule="auto"/>
        <w:ind w:firstLine="567"/>
        <w:jc w:val="both"/>
        <w:rPr>
          <w:rFonts w:eastAsia="Calibri"/>
          <w:lang w:eastAsia="en-US"/>
        </w:rPr>
      </w:pPr>
      <w:r w:rsidRPr="009B1DA2">
        <w:rPr>
          <w:rFonts w:eastAsia="Calibri"/>
          <w:lang w:eastAsia="en-US"/>
        </w:rPr>
        <w:t>Банк России формирует базу данных «О случаях и попытках осуществления перевода денежных средств без согласия клиента» на основе данных, полученных от банков и других операторов платежных систем. Она содержит большое количество параметров — уникальных идентификаторов, в том числе информацию о совершенных операциях, о плательщиках и получателях денежных средств. Сведения из базы направляются во все банки.</w:t>
      </w:r>
    </w:p>
    <w:p w:rsidR="009B1DA2" w:rsidRDefault="009B1DA2" w:rsidP="009B1DA2">
      <w:pPr>
        <w:spacing w:line="276" w:lineRule="auto"/>
        <w:ind w:firstLine="567"/>
        <w:jc w:val="both"/>
        <w:rPr>
          <w:rFonts w:eastAsia="Calibri"/>
          <w:lang w:eastAsia="en-US"/>
        </w:rPr>
      </w:pPr>
    </w:p>
    <w:p w:rsidR="009A0EF4" w:rsidRPr="009A0EF4" w:rsidRDefault="009A0EF4" w:rsidP="009A0EF4">
      <w:pPr>
        <w:ind w:firstLine="567"/>
        <w:rPr>
          <w:rFonts w:eastAsia="Calibri"/>
          <w:lang w:eastAsia="en-US"/>
        </w:rPr>
      </w:pPr>
      <w:r w:rsidRPr="009A0EF4">
        <w:rPr>
          <w:rFonts w:eastAsia="Calibri"/>
          <w:lang w:eastAsia="en-US"/>
        </w:rPr>
        <w:t xml:space="preserve">Пресс-служба Отделения Пермь Уральского ГУ Банка России   </w:t>
      </w:r>
    </w:p>
    <w:p w:rsidR="009A0EF4" w:rsidRPr="009A0EF4" w:rsidRDefault="009A0EF4" w:rsidP="009A0EF4">
      <w:pPr>
        <w:ind w:firstLine="567"/>
        <w:jc w:val="both"/>
        <w:rPr>
          <w:rFonts w:eastAsia="Calibri"/>
        </w:rPr>
      </w:pPr>
      <w:r w:rsidRPr="009A0EF4">
        <w:rPr>
          <w:rFonts w:eastAsia="Calibri"/>
        </w:rPr>
        <w:t xml:space="preserve">(342) 218-72-30 </w:t>
      </w:r>
    </w:p>
    <w:p w:rsidR="009A0EF4" w:rsidRPr="009A0EF4" w:rsidRDefault="008574C6" w:rsidP="009A0EF4">
      <w:pPr>
        <w:ind w:firstLine="567"/>
        <w:jc w:val="both"/>
        <w:rPr>
          <w:rFonts w:ascii="Calibri" w:eastAsia="Calibri" w:hAnsi="Calibri"/>
          <w:sz w:val="22"/>
          <w:szCs w:val="22"/>
          <w:lang w:eastAsia="en-US"/>
        </w:rPr>
      </w:pPr>
      <w:hyperlink r:id="rId10" w:history="1">
        <w:r w:rsidR="009A0EF4" w:rsidRPr="009A0EF4">
          <w:rPr>
            <w:rFonts w:eastAsia="Calibri"/>
            <w:color w:val="0000FF"/>
            <w:u w:val="single"/>
          </w:rPr>
          <w:t>57</w:t>
        </w:r>
        <w:r w:rsidR="009A0EF4" w:rsidRPr="009A0EF4">
          <w:rPr>
            <w:rFonts w:eastAsia="Calibri"/>
            <w:color w:val="0000FF"/>
            <w:u w:val="single"/>
            <w:lang w:val="en-US"/>
          </w:rPr>
          <w:t>media</w:t>
        </w:r>
        <w:r w:rsidR="009A0EF4" w:rsidRPr="009A0EF4">
          <w:rPr>
            <w:rFonts w:eastAsia="Calibri"/>
            <w:color w:val="0000FF"/>
            <w:u w:val="single"/>
          </w:rPr>
          <w:t>@</w:t>
        </w:r>
        <w:r w:rsidR="009A0EF4" w:rsidRPr="009A0EF4">
          <w:rPr>
            <w:rFonts w:eastAsia="Calibri"/>
            <w:color w:val="0000FF"/>
            <w:u w:val="single"/>
            <w:lang w:val="en-US"/>
          </w:rPr>
          <w:t>cbr</w:t>
        </w:r>
        <w:r w:rsidR="009A0EF4" w:rsidRPr="009A0EF4">
          <w:rPr>
            <w:rFonts w:eastAsia="Calibri"/>
            <w:color w:val="0000FF"/>
            <w:u w:val="single"/>
          </w:rPr>
          <w:t>.</w:t>
        </w:r>
        <w:r w:rsidR="009A0EF4" w:rsidRPr="009A0EF4">
          <w:rPr>
            <w:rFonts w:eastAsia="Calibri"/>
            <w:color w:val="0000FF"/>
            <w:u w:val="single"/>
            <w:lang w:val="en-US"/>
          </w:rPr>
          <w:t>ru</w:t>
        </w:r>
      </w:hyperlink>
      <w:r w:rsidR="009A0EF4" w:rsidRPr="009A0EF4">
        <w:rPr>
          <w:rFonts w:ascii="Calibri" w:eastAsia="Calibri" w:hAnsi="Calibri"/>
          <w:sz w:val="22"/>
          <w:szCs w:val="22"/>
          <w:lang w:eastAsia="en-US"/>
        </w:rPr>
        <w:t xml:space="preserve"> </w:t>
      </w:r>
    </w:p>
    <w:p w:rsidR="009A0EF4" w:rsidRPr="009A0EF4" w:rsidRDefault="008574C6" w:rsidP="009A0EF4">
      <w:pPr>
        <w:ind w:firstLine="567"/>
        <w:jc w:val="both"/>
        <w:rPr>
          <w:rFonts w:eastAsia="Calibri"/>
          <w:lang w:eastAsia="en-US"/>
        </w:rPr>
      </w:pPr>
      <w:hyperlink r:id="rId11" w:history="1">
        <w:r w:rsidR="009A0EF4" w:rsidRPr="009A0EF4">
          <w:rPr>
            <w:rFonts w:eastAsia="Calibri"/>
            <w:color w:val="0000FF"/>
            <w:u w:val="single"/>
            <w:lang w:eastAsia="en-US"/>
          </w:rPr>
          <w:t>http</w:t>
        </w:r>
        <w:r w:rsidR="009A0EF4" w:rsidRPr="009A0EF4">
          <w:rPr>
            <w:rFonts w:eastAsia="Calibri"/>
            <w:color w:val="0000FF"/>
            <w:u w:val="single"/>
            <w:lang w:val="en-US" w:eastAsia="en-US"/>
          </w:rPr>
          <w:t>s</w:t>
        </w:r>
        <w:r w:rsidR="009A0EF4" w:rsidRPr="009A0EF4">
          <w:rPr>
            <w:rFonts w:eastAsia="Calibri"/>
            <w:color w:val="0000FF"/>
            <w:u w:val="single"/>
            <w:lang w:eastAsia="en-US"/>
          </w:rPr>
          <w:t>://www.cbr.ru/</w:t>
        </w:r>
        <w:r w:rsidR="009A0EF4" w:rsidRPr="009A0EF4">
          <w:rPr>
            <w:rFonts w:eastAsia="Calibri"/>
            <w:color w:val="0000FF"/>
            <w:u w:val="single"/>
            <w:lang w:val="en-US" w:eastAsia="en-US"/>
          </w:rPr>
          <w:t>perm</w:t>
        </w:r>
        <w:r w:rsidR="009A0EF4" w:rsidRPr="009A0EF4">
          <w:rPr>
            <w:rFonts w:eastAsia="Calibri"/>
            <w:color w:val="0000FF"/>
            <w:u w:val="single"/>
            <w:lang w:eastAsia="en-US"/>
          </w:rPr>
          <w:t>/news/</w:t>
        </w:r>
      </w:hyperlink>
      <w:r w:rsidR="009A0EF4" w:rsidRPr="009A0EF4">
        <w:rPr>
          <w:rFonts w:eastAsia="Calibri"/>
          <w:lang w:eastAsia="en-US"/>
        </w:rPr>
        <w:t xml:space="preserve"> </w:t>
      </w:r>
    </w:p>
    <w:p w:rsidR="009A0EF4" w:rsidRPr="009A0EF4" w:rsidRDefault="009A0EF4" w:rsidP="009A0EF4">
      <w:pPr>
        <w:spacing w:after="200" w:line="276" w:lineRule="auto"/>
        <w:ind w:firstLine="567"/>
        <w:contextualSpacing/>
        <w:jc w:val="both"/>
        <w:rPr>
          <w:rFonts w:eastAsia="Calibri"/>
          <w:lang w:eastAsia="en-US"/>
        </w:rPr>
      </w:pPr>
      <w:r w:rsidRPr="009A0EF4">
        <w:rPr>
          <w:rFonts w:eastAsia="Calibri"/>
        </w:rPr>
        <w:t>новости Пермского края на сайте Банка России</w:t>
      </w:r>
    </w:p>
    <w:p w:rsidR="009A0EF4" w:rsidRPr="009A0EF4" w:rsidRDefault="009A0EF4" w:rsidP="009A0EF4">
      <w:pPr>
        <w:ind w:firstLine="567"/>
        <w:jc w:val="both"/>
        <w:rPr>
          <w:lang w:eastAsia="en-US"/>
        </w:rPr>
      </w:pPr>
    </w:p>
    <w:p w:rsidR="009A0EF4" w:rsidRDefault="009A0EF4" w:rsidP="00F665E9">
      <w:pPr>
        <w:ind w:firstLine="567"/>
        <w:jc w:val="both"/>
      </w:pPr>
    </w:p>
    <w:p w:rsidR="00B860CE" w:rsidRDefault="00B860CE"/>
    <w:sectPr w:rsidR="00B860CE">
      <w:endnotePr>
        <w:numRestart w:val="eachSect"/>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C6" w:rsidRDefault="008574C6" w:rsidP="00C45150">
      <w:r>
        <w:separator/>
      </w:r>
    </w:p>
  </w:endnote>
  <w:endnote w:type="continuationSeparator" w:id="0">
    <w:p w:rsidR="008574C6" w:rsidRDefault="008574C6" w:rsidP="00C4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C6" w:rsidRDefault="008574C6" w:rsidP="00C45150">
      <w:r>
        <w:separator/>
      </w:r>
    </w:p>
  </w:footnote>
  <w:footnote w:type="continuationSeparator" w:id="0">
    <w:p w:rsidR="008574C6" w:rsidRDefault="008574C6" w:rsidP="00C45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12"/>
    <w:rsid w:val="0006745A"/>
    <w:rsid w:val="000A07AB"/>
    <w:rsid w:val="000C3A39"/>
    <w:rsid w:val="002664F1"/>
    <w:rsid w:val="002D5DF2"/>
    <w:rsid w:val="0039280E"/>
    <w:rsid w:val="003F7CAA"/>
    <w:rsid w:val="004124E8"/>
    <w:rsid w:val="00476C91"/>
    <w:rsid w:val="004960F8"/>
    <w:rsid w:val="0059338C"/>
    <w:rsid w:val="006228AF"/>
    <w:rsid w:val="00690BF0"/>
    <w:rsid w:val="007152D4"/>
    <w:rsid w:val="00820109"/>
    <w:rsid w:val="008574C6"/>
    <w:rsid w:val="008E5DD1"/>
    <w:rsid w:val="009A0EF4"/>
    <w:rsid w:val="009B1DA2"/>
    <w:rsid w:val="00A25112"/>
    <w:rsid w:val="00A40E35"/>
    <w:rsid w:val="00A8174A"/>
    <w:rsid w:val="00A87A0B"/>
    <w:rsid w:val="00AE0312"/>
    <w:rsid w:val="00B860CE"/>
    <w:rsid w:val="00C45150"/>
    <w:rsid w:val="00C767F9"/>
    <w:rsid w:val="00DC3670"/>
    <w:rsid w:val="00E24D25"/>
    <w:rsid w:val="00F652D2"/>
    <w:rsid w:val="00F665E9"/>
    <w:rsid w:val="00F805AA"/>
    <w:rsid w:val="00F9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0F09"/>
  <w15:chartTrackingRefBased/>
  <w15:docId w15:val="{3F039951-6AB8-47E9-9F1E-8F12DAB7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E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EF4"/>
    <w:rPr>
      <w:color w:val="0000FF"/>
      <w:u w:val="single"/>
    </w:rPr>
  </w:style>
  <w:style w:type="paragraph" w:styleId="a4">
    <w:name w:val="Balloon Text"/>
    <w:basedOn w:val="a"/>
    <w:link w:val="a5"/>
    <w:uiPriority w:val="99"/>
    <w:semiHidden/>
    <w:unhideWhenUsed/>
    <w:rsid w:val="003F7CAA"/>
    <w:rPr>
      <w:rFonts w:ascii="Segoe UI" w:hAnsi="Segoe UI" w:cs="Segoe UI"/>
      <w:sz w:val="18"/>
      <w:szCs w:val="18"/>
    </w:rPr>
  </w:style>
  <w:style w:type="character" w:customStyle="1" w:styleId="a5">
    <w:name w:val="Текст выноски Знак"/>
    <w:basedOn w:val="a0"/>
    <w:link w:val="a4"/>
    <w:uiPriority w:val="99"/>
    <w:semiHidden/>
    <w:rsid w:val="003F7CAA"/>
    <w:rPr>
      <w:rFonts w:ascii="Segoe UI" w:hAnsi="Segoe UI" w:cs="Segoe UI"/>
      <w:sz w:val="18"/>
      <w:szCs w:val="18"/>
      <w:lang w:eastAsia="ru-RU"/>
    </w:rPr>
  </w:style>
  <w:style w:type="paragraph" w:styleId="a6">
    <w:name w:val="footnote text"/>
    <w:basedOn w:val="a"/>
    <w:link w:val="a7"/>
    <w:uiPriority w:val="99"/>
    <w:semiHidden/>
    <w:unhideWhenUsed/>
    <w:rsid w:val="00C45150"/>
    <w:rPr>
      <w:sz w:val="20"/>
      <w:szCs w:val="20"/>
    </w:rPr>
  </w:style>
  <w:style w:type="character" w:customStyle="1" w:styleId="a7">
    <w:name w:val="Текст сноски Знак"/>
    <w:basedOn w:val="a0"/>
    <w:link w:val="a6"/>
    <w:uiPriority w:val="99"/>
    <w:semiHidden/>
    <w:rsid w:val="00C45150"/>
    <w:rPr>
      <w:rFonts w:ascii="Times New Roman" w:hAnsi="Times New Roman" w:cs="Times New Roman"/>
      <w:sz w:val="20"/>
      <w:szCs w:val="20"/>
      <w:lang w:eastAsia="ru-RU"/>
    </w:rPr>
  </w:style>
  <w:style w:type="character" w:styleId="a8">
    <w:name w:val="footnote reference"/>
    <w:basedOn w:val="a0"/>
    <w:uiPriority w:val="99"/>
    <w:semiHidden/>
    <w:unhideWhenUsed/>
    <w:rsid w:val="00C45150"/>
    <w:rPr>
      <w:vertAlign w:val="superscript"/>
    </w:rPr>
  </w:style>
  <w:style w:type="paragraph" w:styleId="a9">
    <w:name w:val="endnote text"/>
    <w:basedOn w:val="a"/>
    <w:link w:val="aa"/>
    <w:uiPriority w:val="99"/>
    <w:semiHidden/>
    <w:unhideWhenUsed/>
    <w:rsid w:val="00476C91"/>
    <w:rPr>
      <w:sz w:val="20"/>
      <w:szCs w:val="20"/>
    </w:rPr>
  </w:style>
  <w:style w:type="character" w:customStyle="1" w:styleId="aa">
    <w:name w:val="Текст концевой сноски Знак"/>
    <w:basedOn w:val="a0"/>
    <w:link w:val="a9"/>
    <w:uiPriority w:val="99"/>
    <w:semiHidden/>
    <w:rsid w:val="00476C91"/>
    <w:rPr>
      <w:rFonts w:ascii="Times New Roman" w:hAnsi="Times New Roman" w:cs="Times New Roman"/>
      <w:sz w:val="20"/>
      <w:szCs w:val="20"/>
      <w:lang w:eastAsia="ru-RU"/>
    </w:rPr>
  </w:style>
  <w:style w:type="character" w:styleId="ab">
    <w:name w:val="endnote reference"/>
    <w:basedOn w:val="a0"/>
    <w:uiPriority w:val="99"/>
    <w:semiHidden/>
    <w:unhideWhenUsed/>
    <w:rsid w:val="00476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42142">
      <w:bodyDiv w:val="1"/>
      <w:marLeft w:val="0"/>
      <w:marRight w:val="0"/>
      <w:marTop w:val="0"/>
      <w:marBottom w:val="0"/>
      <w:divBdr>
        <w:top w:val="none" w:sz="0" w:space="0" w:color="auto"/>
        <w:left w:val="none" w:sz="0" w:space="0" w:color="auto"/>
        <w:bottom w:val="none" w:sz="0" w:space="0" w:color="auto"/>
        <w:right w:val="none" w:sz="0" w:space="0" w:color="auto"/>
      </w:divBdr>
    </w:div>
    <w:div w:id="17855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information_security/p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br.ru/perm/news/" TargetMode="External"/><Relationship Id="rId5" Type="http://schemas.openxmlformats.org/officeDocument/2006/relationships/footnotes" Target="footnotes.xml"/><Relationship Id="rId10" Type="http://schemas.openxmlformats.org/officeDocument/2006/relationships/hyperlink" Target="mailto:57media@cbr.ru" TargetMode="External"/><Relationship Id="rId4" Type="http://schemas.openxmlformats.org/officeDocument/2006/relationships/webSettings" Target="webSettings.xml"/><Relationship Id="rId9" Type="http://schemas.openxmlformats.org/officeDocument/2006/relationships/hyperlink" Target="http://www.cbr.ru/information_security/p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1ECF-B312-4AE3-9C77-8E695BD8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 Иван Викторович</dc:creator>
  <cp:keywords/>
  <dc:description/>
  <cp:lastModifiedBy>Носкова Софья Александровна</cp:lastModifiedBy>
  <cp:revision>4</cp:revision>
  <dcterms:created xsi:type="dcterms:W3CDTF">2023-07-18T11:52:00Z</dcterms:created>
  <dcterms:modified xsi:type="dcterms:W3CDTF">2023-07-19T05:59:00Z</dcterms:modified>
</cp:coreProperties>
</file>