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3B" w:rsidRDefault="008F5AE2">
      <w:pPr>
        <w:pStyle w:val="70"/>
        <w:pBdr>
          <w:top w:val="single" w:sz="0" w:space="0" w:color="96979A"/>
          <w:left w:val="single" w:sz="0" w:space="0" w:color="96979A"/>
          <w:bottom w:val="single" w:sz="0" w:space="0" w:color="96979A"/>
          <w:right w:val="single" w:sz="0" w:space="0" w:color="96979A"/>
        </w:pBdr>
        <w:shd w:val="clear" w:color="auto" w:fill="96979A"/>
      </w:pPr>
      <w:bookmarkStart w:id="0" w:name="_GoBack"/>
      <w:bookmarkEnd w:id="0"/>
      <w:r>
        <w:rPr>
          <w:color w:val="FFFFFF"/>
        </w:rPr>
        <w:t>ГАЗОРАСПРЕДЕЛЕНИЕ</w:t>
      </w:r>
    </w:p>
    <w:p w:rsidR="0025713B" w:rsidRDefault="008F5AE2">
      <w:pPr>
        <w:pStyle w:val="40"/>
        <w:spacing w:after="440" w:line="276" w:lineRule="auto"/>
        <w:rPr>
          <w:sz w:val="24"/>
          <w:szCs w:val="24"/>
        </w:rPr>
      </w:pPr>
      <w:r>
        <w:rPr>
          <w:w w:val="100"/>
          <w:sz w:val="24"/>
          <w:szCs w:val="24"/>
        </w:rPr>
        <w:t>ПЕРМЬ</w:t>
      </w:r>
    </w:p>
    <w:p w:rsidR="0025713B" w:rsidRDefault="008F5AE2">
      <w:pPr>
        <w:pStyle w:val="11"/>
        <w:spacing w:after="340" w:line="254" w:lineRule="auto"/>
        <w:ind w:firstLine="720"/>
        <w:jc w:val="both"/>
      </w:pPr>
      <w:r>
        <w:rPr>
          <w:b/>
          <w:bCs/>
        </w:rPr>
        <w:t>АО «Газпром газораспределение Пермь» напоминает о необходимости согласования проведения земляных работ в охранных зонах газораспределительных сетей</w:t>
      </w:r>
    </w:p>
    <w:p w:rsidR="0025713B" w:rsidRDefault="008F5AE2">
      <w:pPr>
        <w:pStyle w:val="11"/>
        <w:tabs>
          <w:tab w:val="left" w:pos="3552"/>
        </w:tabs>
        <w:spacing w:line="257" w:lineRule="auto"/>
        <w:ind w:firstLine="720"/>
        <w:jc w:val="both"/>
      </w:pPr>
      <w:r>
        <w:t>В соответствии с Постановлением Правительства Российской Федерации от 20 ноября 2000</w:t>
      </w:r>
      <w:r>
        <w:tab/>
        <w:t>№878 «Об утверждении правил охраны</w:t>
      </w:r>
    </w:p>
    <w:p w:rsidR="0025713B" w:rsidRDefault="008F5AE2">
      <w:pPr>
        <w:pStyle w:val="11"/>
        <w:spacing w:line="257" w:lineRule="auto"/>
        <w:ind w:firstLine="0"/>
        <w:jc w:val="both"/>
      </w:pPr>
      <w:r>
        <w:t>газораспределительных сетей» хозяйственная деятельность в охранных зонах газопроводов осуществляется на основании письменного разрешения газораспределительной организации.</w:t>
      </w:r>
    </w:p>
    <w:p w:rsidR="0025713B" w:rsidRDefault="008F5AE2">
      <w:pPr>
        <w:pStyle w:val="11"/>
        <w:spacing w:line="257" w:lineRule="auto"/>
        <w:ind w:firstLine="720"/>
        <w:jc w:val="both"/>
      </w:pPr>
      <w:r>
        <w:t xml:space="preserve">Охранная зона газораспределительной сети </w:t>
      </w:r>
      <w:r>
        <w:rPr>
          <w:color w:val="181818"/>
        </w:rPr>
        <w:t xml:space="preserve">- </w:t>
      </w:r>
      <w:r>
        <w:t>это т</w:t>
      </w:r>
      <w:r>
        <w:t>ерритория с особыми условиями использования,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их повреждения.</w:t>
      </w:r>
    </w:p>
    <w:p w:rsidR="0025713B" w:rsidRDefault="008F5AE2">
      <w:pPr>
        <w:pStyle w:val="11"/>
        <w:spacing w:line="257" w:lineRule="auto"/>
        <w:ind w:firstLine="720"/>
        <w:jc w:val="both"/>
      </w:pPr>
      <w:r>
        <w:t>Размер охранных зон вд</w:t>
      </w:r>
      <w:r>
        <w:t xml:space="preserve">оль трасс наружных газопроводов составляет 2 м с каждой стороны газопровода, вдоль трасс подземных газопроводов из полиэтиленовых труб при использовании медного провода для обозначения трассы газопровода </w:t>
      </w:r>
      <w:r>
        <w:rPr>
          <w:color w:val="181818"/>
        </w:rPr>
        <w:t xml:space="preserve">- </w:t>
      </w:r>
      <w:r>
        <w:t xml:space="preserve">3 метра со стороны провода и 2 метра </w:t>
      </w:r>
      <w:r>
        <w:rPr>
          <w:color w:val="181818"/>
        </w:rPr>
        <w:t xml:space="preserve">- </w:t>
      </w:r>
      <w:r>
        <w:t>с противопо</w:t>
      </w:r>
      <w:r>
        <w:t>ложной, вокруг отдельно стоящих газорегуляторных пунктов -10 м от границ этих объектов.</w:t>
      </w:r>
    </w:p>
    <w:p w:rsidR="0025713B" w:rsidRDefault="008F5AE2">
      <w:pPr>
        <w:pStyle w:val="11"/>
        <w:spacing w:line="257" w:lineRule="auto"/>
        <w:ind w:firstLine="720"/>
        <w:jc w:val="both"/>
      </w:pPr>
      <w:r>
        <w:t>В целях предупреждения и предотвращения нарушения режима газоснабжения и приостановления поставки газа потребителям при выполнении земляных работ в охранных зонах газор</w:t>
      </w:r>
      <w:r>
        <w:t>аспределительной сети руководителям предприятий (производителям земляных работ) необходимо (ГОСТ Р 56880</w:t>
      </w:r>
      <w:r>
        <w:softHyphen/>
        <w:t>2016 «Системы газораспределительные. Сети газораспределения. Порядок организации и проведения работ в охранных зонах сети газораспределения»):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61"/>
        </w:tabs>
        <w:spacing w:line="257" w:lineRule="auto"/>
        <w:ind w:firstLine="720"/>
        <w:jc w:val="both"/>
      </w:pPr>
      <w:bookmarkStart w:id="1" w:name="bookmark7"/>
      <w:bookmarkEnd w:id="1"/>
      <w:r>
        <w:t>предвари</w:t>
      </w:r>
      <w:r>
        <w:t>тельно получить письменное согласование на проведение земляных работ в подразделение АО «Газпром газораспределение Пермь», где территориально будут проводиться работы;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61"/>
        </w:tabs>
        <w:spacing w:line="257" w:lineRule="auto"/>
        <w:ind w:firstLine="720"/>
        <w:jc w:val="both"/>
      </w:pPr>
      <w:bookmarkStart w:id="2" w:name="bookmark8"/>
      <w:bookmarkEnd w:id="2"/>
      <w:r>
        <w:t xml:space="preserve">вызвать представителя АО «Газпром газораспределение Пермь» за три рабочих дня до начала </w:t>
      </w:r>
      <w:r>
        <w:t>выполнения земляных работ для уточнения трассы прокладки на местности;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61"/>
        </w:tabs>
        <w:spacing w:line="257" w:lineRule="auto"/>
        <w:ind w:firstLine="720"/>
        <w:jc w:val="both"/>
      </w:pPr>
      <w:bookmarkStart w:id="3" w:name="bookmark9"/>
      <w:bookmarkEnd w:id="3"/>
      <w:r>
        <w:t>проинструктировать работников, производящих земляные работы о выполнении «Правил охраны газораспределительных сетей» и требований АО «Газпром газораспределение Пермь»;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61"/>
        </w:tabs>
        <w:spacing w:line="257" w:lineRule="auto"/>
        <w:ind w:firstLine="720"/>
        <w:jc w:val="both"/>
      </w:pPr>
      <w:bookmarkStart w:id="4" w:name="bookmark10"/>
      <w:bookmarkEnd w:id="4"/>
      <w:r>
        <w:t xml:space="preserve">выполнять работы </w:t>
      </w:r>
      <w:r>
        <w:t>в охранной зоне газопровода под наблюдением руководителя работ и в присутствии представителя АО «Газпром газораспределение Пермь».</w:t>
      </w:r>
    </w:p>
    <w:p w:rsidR="0025713B" w:rsidRDefault="008F5AE2">
      <w:pPr>
        <w:pStyle w:val="11"/>
        <w:tabs>
          <w:tab w:val="left" w:pos="4608"/>
          <w:tab w:val="left" w:pos="7373"/>
        </w:tabs>
        <w:spacing w:line="257" w:lineRule="auto"/>
        <w:ind w:firstLine="720"/>
        <w:jc w:val="both"/>
      </w:pPr>
      <w:r>
        <w:t xml:space="preserve">Во избежание несчастных случаев при появлении запаха газа следует сообщить в центральную диспетчерскую службу по телефону 04 </w:t>
      </w:r>
      <w:r>
        <w:t>(с мобильного -104,112).</w:t>
      </w:r>
      <w:r>
        <w:tab/>
        <w:t>’</w:t>
      </w:r>
      <w:r>
        <w:tab/>
        <w:t>'</w:t>
      </w:r>
    </w:p>
    <w:p w:rsidR="0025713B" w:rsidRDefault="008F5AE2">
      <w:pPr>
        <w:pStyle w:val="11"/>
        <w:spacing w:line="257" w:lineRule="auto"/>
        <w:ind w:firstLine="720"/>
        <w:jc w:val="both"/>
        <w:sectPr w:rsidR="0025713B">
          <w:headerReference w:type="even" r:id="rId7"/>
          <w:headerReference w:type="default" r:id="rId8"/>
          <w:pgSz w:w="11900" w:h="16840"/>
          <w:pgMar w:top="1119" w:right="790" w:bottom="946" w:left="1370" w:header="0" w:footer="3" w:gutter="0"/>
          <w:cols w:space="720"/>
          <w:noEndnote/>
          <w:docGrid w:linePitch="360"/>
        </w:sectPr>
      </w:pPr>
      <w:r>
        <w:t>В зависимости от причиненного ущерба виновные в нарушении «Правил охраны газораспределительных сетей» несут административную или уголовную ответственность, согласно законодательству Российской Федерации.</w:t>
      </w:r>
    </w:p>
    <w:p w:rsidR="0025713B" w:rsidRDefault="008F5AE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492760</wp:posOffset>
            </wp:positionH>
            <wp:positionV relativeFrom="margin">
              <wp:posOffset>0</wp:posOffset>
            </wp:positionV>
            <wp:extent cx="3371215" cy="460248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71215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3945890</wp:posOffset>
            </wp:positionH>
            <wp:positionV relativeFrom="margin">
              <wp:posOffset>21590</wp:posOffset>
            </wp:positionV>
            <wp:extent cx="2853055" cy="458406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53055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474345</wp:posOffset>
            </wp:positionH>
            <wp:positionV relativeFrom="margin">
              <wp:posOffset>5144770</wp:posOffset>
            </wp:positionV>
            <wp:extent cx="3554095" cy="451104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55409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4104640</wp:posOffset>
            </wp:positionH>
            <wp:positionV relativeFrom="margin">
              <wp:posOffset>5147945</wp:posOffset>
            </wp:positionV>
            <wp:extent cx="2694305" cy="450469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69430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line="360" w:lineRule="exact"/>
      </w:pPr>
    </w:p>
    <w:p w:rsidR="0025713B" w:rsidRDefault="0025713B">
      <w:pPr>
        <w:spacing w:after="445" w:line="1" w:lineRule="exact"/>
      </w:pPr>
    </w:p>
    <w:p w:rsidR="0025713B" w:rsidRDefault="0025713B">
      <w:pPr>
        <w:spacing w:line="1" w:lineRule="exact"/>
        <w:sectPr w:rsidR="0025713B">
          <w:pgSz w:w="11900" w:h="16840"/>
          <w:pgMar w:top="802" w:right="1193" w:bottom="631" w:left="747" w:header="0" w:footer="3" w:gutter="0"/>
          <w:cols w:space="720"/>
          <w:noEndnote/>
          <w:docGrid w:linePitch="360"/>
        </w:sectPr>
      </w:pPr>
    </w:p>
    <w:p w:rsidR="0025713B" w:rsidRDefault="008F5AE2">
      <w:pPr>
        <w:pStyle w:val="30"/>
        <w:spacing w:after="260"/>
      </w:pPr>
      <w:r>
        <w:lastRenderedPageBreak/>
        <w:t>АО «Газпром газораспределение Пермь» напоминает, что закрытый шибер</w:t>
      </w:r>
      <w:r>
        <w:br/>
        <w:t>печи может стать причиной отравления угарным газом.</w:t>
      </w:r>
    </w:p>
    <w:p w:rsidR="0025713B" w:rsidRDefault="008F5AE2">
      <w:pPr>
        <w:pStyle w:val="11"/>
        <w:spacing w:line="233" w:lineRule="auto"/>
        <w:ind w:firstLine="700"/>
        <w:jc w:val="both"/>
      </w:pPr>
      <w:r>
        <w:t>Использование задвижки (шибера) в бытовой печи с установленной газовой</w:t>
      </w:r>
      <w:r>
        <w:t xml:space="preserve"> горелкой, является опасным, и может стать причиной отравления угарным газом, в том числе смерти. В случае полного или частичного перекрытия сечения дымового канала шибером, нарушается тяга в дымовом канале печи, что может привести к печальным последствиям</w:t>
      </w:r>
      <w:r>
        <w:t>.</w:t>
      </w:r>
    </w:p>
    <w:p w:rsidR="0025713B" w:rsidRDefault="008F5AE2">
      <w:pPr>
        <w:pStyle w:val="11"/>
        <w:spacing w:line="233" w:lineRule="auto"/>
        <w:ind w:firstLine="700"/>
        <w:jc w:val="both"/>
      </w:pPr>
      <w:r>
        <w:t>Закрытый шибер перекрывает дымоход, не давая продуктам сгорания газа покинуть топку печи. В этом случае за несколько минут происходит заполнение помещения ядовитым угарным газом, который не имеет ни цвета, ни вкуса, ни запаха. После 2-3 вдохов воздуха, с</w:t>
      </w:r>
      <w:r>
        <w:t>одержащего более 1,2 % угарного газа, человек умирает менее чем через 3 минуты!</w:t>
      </w:r>
    </w:p>
    <w:p w:rsidR="0025713B" w:rsidRDefault="008F5AE2">
      <w:pPr>
        <w:pStyle w:val="11"/>
        <w:spacing w:line="254" w:lineRule="auto"/>
        <w:ind w:firstLine="700"/>
        <w:jc w:val="both"/>
      </w:pPr>
      <w:r>
        <w:t>В целях повышения безопасности пользования газом в быту АО «Газпром газораспределение Пермь» настоятельно рекомендуем извлечь задвижку (шибер) из конструкции отопительной бытов</w:t>
      </w:r>
      <w:r>
        <w:t>ой печи и замуровать с внешней стороны стенки дымового канала образовавшееся отверстие (щель).</w:t>
      </w:r>
    </w:p>
    <w:p w:rsidR="0025713B" w:rsidRDefault="008F5AE2">
      <w:pPr>
        <w:pStyle w:val="11"/>
        <w:spacing w:line="254" w:lineRule="auto"/>
        <w:ind w:firstLine="700"/>
        <w:jc w:val="both"/>
      </w:pPr>
      <w:r>
        <w:t xml:space="preserve"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</w:t>
      </w:r>
      <w:r>
        <w:t>соседей.</w:t>
      </w:r>
    </w:p>
    <w:p w:rsidR="0025713B" w:rsidRDefault="008F5AE2">
      <w:pPr>
        <w:pStyle w:val="11"/>
        <w:spacing w:line="254" w:lineRule="auto"/>
        <w:ind w:firstLine="700"/>
        <w:jc w:val="both"/>
        <w:sectPr w:rsidR="0025713B">
          <w:headerReference w:type="even" r:id="rId13"/>
          <w:headerReference w:type="default" r:id="rId14"/>
          <w:pgSz w:w="11900" w:h="16840"/>
          <w:pgMar w:top="2257" w:right="781" w:bottom="2257" w:left="1394" w:header="0" w:footer="1829" w:gutter="0"/>
          <w:cols w:space="720"/>
          <w:noEndnote/>
          <w:docGrid w:linePitch="360"/>
        </w:sectPr>
      </w:pPr>
      <w:r>
        <w:t xml:space="preserve"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</w:t>
      </w:r>
      <w:r>
        <w:t>вызова экстренных оперативных служб).</w:t>
      </w:r>
    </w:p>
    <w:p w:rsidR="0025713B" w:rsidRDefault="008F5AE2">
      <w:pPr>
        <w:pStyle w:val="30"/>
        <w:spacing w:after="280" w:line="228" w:lineRule="auto"/>
      </w:pPr>
      <w:r>
        <w:lastRenderedPageBreak/>
        <w:t>Об опасности отравления угарным газом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началом отопительного сезона необходимо обеспечить безопасную эксплуатацию газоиспользующего оборудования, расположенного в многоквартирных домах и частных домовладениях </w:t>
      </w:r>
      <w:r>
        <w:rPr>
          <w:sz w:val="24"/>
          <w:szCs w:val="24"/>
        </w:rPr>
        <w:t>(плиты газовые, газовые колонки и котлы).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условием безопасного использования газовых приборов является надлежащее содержание дымовых и вентиляционных каналов жилых помещений и многоквартирных домов.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При неисправной работе вентиляционных или ды</w:t>
      </w:r>
      <w:r>
        <w:rPr>
          <w:sz w:val="24"/>
          <w:szCs w:val="24"/>
        </w:rPr>
        <w:t xml:space="preserve">мовых каналов, может произойти отравление продуктами сгорания бытового газа </w:t>
      </w:r>
      <w:r>
        <w:rPr>
          <w:color w:val="353535"/>
          <w:sz w:val="24"/>
          <w:szCs w:val="24"/>
        </w:rPr>
        <w:t xml:space="preserve">- </w:t>
      </w:r>
      <w:r>
        <w:rPr>
          <w:sz w:val="24"/>
          <w:szCs w:val="24"/>
        </w:rPr>
        <w:t>угарным газом.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Отравление угарным газом (окись углерода СО) - одна из самых частых причин смертельных случаев при использовании газа в быту. Из-за отсутствия цвета, вкуса и запах</w:t>
      </w:r>
      <w:r>
        <w:rPr>
          <w:sz w:val="24"/>
          <w:szCs w:val="24"/>
        </w:rPr>
        <w:t>а наличие высокой концентрации угарного газа в помещении можно заметить только по симптомам отравления: головокружение, головная боль, тошнота, рвота, одышка, кашель, слезящиеся глаза.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Больше всего рисков отравления СО связано с эксплуатацией проточных вод</w:t>
      </w:r>
      <w:r>
        <w:rPr>
          <w:sz w:val="24"/>
          <w:szCs w:val="24"/>
        </w:rPr>
        <w:t>онагревателей (газовых колонок) с открытой камерой сгорания, которые установлены как в частных домовладениях, так и в многоквартирных домах, не имеющих централизованного горячего водоснабжения.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Чтобы избежать отравления угарным газом важно соблюдать просты</w:t>
      </w:r>
      <w:r>
        <w:rPr>
          <w:sz w:val="24"/>
          <w:szCs w:val="24"/>
        </w:rPr>
        <w:t>е правила безопасности: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03"/>
        </w:tabs>
        <w:ind w:firstLine="700"/>
        <w:jc w:val="both"/>
        <w:rPr>
          <w:sz w:val="24"/>
          <w:szCs w:val="24"/>
        </w:rPr>
      </w:pPr>
      <w:bookmarkStart w:id="5" w:name="bookmark11"/>
      <w:bookmarkEnd w:id="5"/>
      <w:r>
        <w:rPr>
          <w:sz w:val="24"/>
          <w:szCs w:val="24"/>
        </w:rPr>
        <w:t>всегда открывайте форточку или окно во время использования газового прибора. Помните, для работы газовых приборов необходим постоянный приток свежего воздуха;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903"/>
        </w:tabs>
        <w:ind w:firstLine="700"/>
        <w:jc w:val="both"/>
        <w:rPr>
          <w:sz w:val="24"/>
          <w:szCs w:val="24"/>
        </w:rPr>
      </w:pPr>
      <w:bookmarkStart w:id="6" w:name="bookmark12"/>
      <w:bookmarkEnd w:id="6"/>
      <w:r>
        <w:rPr>
          <w:sz w:val="24"/>
          <w:szCs w:val="24"/>
        </w:rPr>
        <w:t xml:space="preserve">проверяйте тягу перед использованием газовой плитой, колонкой или </w:t>
      </w:r>
      <w:r>
        <w:rPr>
          <w:sz w:val="24"/>
          <w:szCs w:val="24"/>
        </w:rPr>
        <w:t>отопительного котла;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bookmarkStart w:id="7" w:name="bookmark13"/>
      <w:bookmarkEnd w:id="7"/>
      <w:r>
        <w:rPr>
          <w:sz w:val="24"/>
          <w:szCs w:val="24"/>
        </w:rPr>
        <w:t>используйте только исправное газовое оборудование;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bookmarkStart w:id="8" w:name="bookmark14"/>
      <w:bookmarkEnd w:id="8"/>
      <w:r>
        <w:rPr>
          <w:sz w:val="24"/>
          <w:szCs w:val="24"/>
        </w:rPr>
        <w:t>автоматика безопасности газовой колонки/котла всегда должна быть в рабочем и исправном состоянии;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bookmarkStart w:id="9" w:name="bookmark15"/>
      <w:bookmarkEnd w:id="9"/>
      <w:r>
        <w:rPr>
          <w:sz w:val="24"/>
          <w:szCs w:val="24"/>
        </w:rPr>
        <w:t>не используйте для обогрева помещений газовую плиту или духовку;</w:t>
      </w:r>
    </w:p>
    <w:p w:rsidR="0025713B" w:rsidRDefault="008F5AE2">
      <w:pPr>
        <w:pStyle w:val="11"/>
        <w:numPr>
          <w:ilvl w:val="0"/>
          <w:numId w:val="2"/>
        </w:numPr>
        <w:tabs>
          <w:tab w:val="left" w:pos="898"/>
        </w:tabs>
        <w:ind w:firstLine="700"/>
        <w:jc w:val="both"/>
        <w:rPr>
          <w:sz w:val="24"/>
          <w:szCs w:val="24"/>
        </w:rPr>
      </w:pPr>
      <w:bookmarkStart w:id="10" w:name="bookmark16"/>
      <w:bookmarkEnd w:id="10"/>
      <w:r>
        <w:rPr>
          <w:sz w:val="24"/>
          <w:szCs w:val="24"/>
        </w:rPr>
        <w:t>регулярно вызывайте с</w:t>
      </w:r>
      <w:r>
        <w:rPr>
          <w:sz w:val="24"/>
          <w:szCs w:val="24"/>
        </w:rPr>
        <w:t>пециалистов для проверки и прочистки дымоходов и вентиляционных каналов.</w:t>
      </w:r>
    </w:p>
    <w:p w:rsidR="0025713B" w:rsidRDefault="008F5AE2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Также для предотвращения случаев отравления угарным и природным газом «Газпром газораспределение Пермь» рекомендует оборудовать помещение, где установлены газовые приборы, двухкомпоне</w:t>
      </w:r>
      <w:r>
        <w:rPr>
          <w:sz w:val="24"/>
          <w:szCs w:val="24"/>
        </w:rPr>
        <w:t>нтными сигнализаторами загазованности по оксиду углерода и метану. Сигнализатор почувствует наличие опасной концентрации угарного газа или метана в помещении, издаст звуковой сигнал, а электромагнитный клапан (при наличии) перекроет подачу газа. Таким обра</w:t>
      </w:r>
      <w:r>
        <w:rPr>
          <w:sz w:val="24"/>
          <w:szCs w:val="24"/>
        </w:rPr>
        <w:t>зом, трагедии удастся избежать.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25713B" w:rsidRDefault="008F5AE2">
      <w:pPr>
        <w:pStyle w:val="11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Аварийная газовая служба работает в круглосуточном режим</w:t>
      </w:r>
      <w:r>
        <w:rPr>
          <w:sz w:val="24"/>
          <w:szCs w:val="24"/>
        </w:rPr>
        <w:t>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sectPr w:rsidR="0025713B">
      <w:pgSz w:w="11900" w:h="16840"/>
      <w:pgMar w:top="2257" w:right="785" w:bottom="2257" w:left="1389" w:header="0" w:footer="18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E2" w:rsidRDefault="008F5AE2">
      <w:r>
        <w:separator/>
      </w:r>
    </w:p>
  </w:endnote>
  <w:endnote w:type="continuationSeparator" w:id="0">
    <w:p w:rsidR="008F5AE2" w:rsidRDefault="008F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E2" w:rsidRDefault="008F5AE2"/>
  </w:footnote>
  <w:footnote w:type="continuationSeparator" w:id="0">
    <w:p w:rsidR="008F5AE2" w:rsidRDefault="008F5A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3B" w:rsidRDefault="008F5A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387350</wp:posOffset>
              </wp:positionV>
              <wp:extent cx="1066800" cy="2743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B" w:rsidRDefault="008F5AE2">
                          <w:pPr>
                            <w:pStyle w:val="22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58789"/>
                              <w:w w:val="60"/>
                              <w:sz w:val="56"/>
                              <w:szCs w:val="56"/>
                            </w:rPr>
                            <w:t>ГАЗПРОМ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.44999999999999pt;margin-top:30.5pt;width:84.pt;height:21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6"/>
                        <w:szCs w:val="5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58789"/>
                        <w:spacing w:val="0"/>
                        <w:w w:val="60"/>
                        <w:position w:val="0"/>
                        <w:sz w:val="56"/>
                        <w:szCs w:val="56"/>
                      </w:rPr>
                      <w:t>ГАЗПРОМ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3B" w:rsidRDefault="0025713B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3B" w:rsidRDefault="008F5A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3155950</wp:posOffset>
              </wp:positionH>
              <wp:positionV relativeFrom="page">
                <wp:posOffset>195580</wp:posOffset>
              </wp:positionV>
              <wp:extent cx="539750" cy="8902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90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B" w:rsidRDefault="008F5AE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2290" cy="890270"/>
                                <wp:effectExtent l="0" t="0" r="0" b="0"/>
                                <wp:docPr id="30" name="Picutre 3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2290" cy="890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248.5pt;margin-top:15.4pt;width:42.5pt;height:70.100000000000009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2290" cy="890270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2290" cy="8902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466725</wp:posOffset>
              </wp:positionV>
              <wp:extent cx="1066800" cy="27432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B" w:rsidRDefault="008F5AE2">
                          <w:pPr>
                            <w:pStyle w:val="22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C6E70"/>
                              <w:w w:val="60"/>
                              <w:sz w:val="56"/>
                              <w:szCs w:val="56"/>
                            </w:rPr>
                            <w:t>ГАЗПРОМ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92.90000000000003pt;margin-top:36.75pt;width:84.pt;height:21.6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6"/>
                        <w:szCs w:val="5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C6E70"/>
                        <w:spacing w:val="0"/>
                        <w:w w:val="60"/>
                        <w:position w:val="0"/>
                        <w:sz w:val="56"/>
                        <w:szCs w:val="56"/>
                      </w:rPr>
                      <w:t>ГАЗПРОМ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3B" w:rsidRDefault="008F5A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3155950</wp:posOffset>
              </wp:positionH>
              <wp:positionV relativeFrom="page">
                <wp:posOffset>195580</wp:posOffset>
              </wp:positionV>
              <wp:extent cx="539750" cy="8902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90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B" w:rsidRDefault="008F5AE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2290" cy="890270"/>
                                <wp:effectExtent l="0" t="0" r="0" b="0"/>
                                <wp:docPr id="24" name="Picut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2290" cy="890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48.5pt;margin-top:15.4pt;width:42.5pt;height:70.100000000000009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2290" cy="890270"/>
                          <wp:docPr id="26" name="Picutre 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2290" cy="8902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466725</wp:posOffset>
              </wp:positionV>
              <wp:extent cx="1066800" cy="2743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713B" w:rsidRDefault="008F5AE2">
                          <w:pPr>
                            <w:pStyle w:val="22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C6E70"/>
                              <w:w w:val="60"/>
                              <w:sz w:val="56"/>
                              <w:szCs w:val="56"/>
                            </w:rPr>
                            <w:t>ГАЗПРОМ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92.90000000000003pt;margin-top:36.75pt;width:84.pt;height:21.6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6"/>
                        <w:szCs w:val="5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C6E70"/>
                        <w:spacing w:val="0"/>
                        <w:w w:val="60"/>
                        <w:position w:val="0"/>
                        <w:sz w:val="56"/>
                        <w:szCs w:val="56"/>
                      </w:rPr>
                      <w:t>ГАЗПРОМ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043"/>
    <w:multiLevelType w:val="multilevel"/>
    <w:tmpl w:val="FB268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C94D32"/>
    <w:multiLevelType w:val="multilevel"/>
    <w:tmpl w:val="5D24B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3B"/>
    <w:rsid w:val="0025713B"/>
    <w:rsid w:val="00263CB1"/>
    <w:rsid w:val="008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ADEBB-5B88-457D-9943-61F50DAC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color w:val="4D4D4E"/>
      <w:w w:val="60"/>
      <w:sz w:val="34"/>
      <w:szCs w:val="34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1818"/>
      <w:sz w:val="19"/>
      <w:szCs w:val="19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181818"/>
      <w:w w:val="7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53535"/>
      <w:sz w:val="11"/>
      <w:szCs w:val="11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181818"/>
      <w:sz w:val="18"/>
      <w:szCs w:val="1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17"/>
      <w:szCs w:val="17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17"/>
      <w:szCs w:val="17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60"/>
      <w:ind w:left="1200"/>
      <w:outlineLvl w:val="0"/>
    </w:pPr>
    <w:rPr>
      <w:rFonts w:ascii="Cambria" w:eastAsia="Cambria" w:hAnsi="Cambria" w:cs="Cambria"/>
      <w:b/>
      <w:bCs/>
      <w:color w:val="4D4D4E"/>
      <w:w w:val="60"/>
      <w:sz w:val="34"/>
      <w:szCs w:val="34"/>
    </w:rPr>
  </w:style>
  <w:style w:type="paragraph" w:customStyle="1" w:styleId="50">
    <w:name w:val="Основной текст (5)"/>
    <w:basedOn w:val="a"/>
    <w:link w:val="5"/>
    <w:pPr>
      <w:ind w:left="600" w:firstLine="260"/>
    </w:pPr>
    <w:rPr>
      <w:rFonts w:ascii="Times New Roman" w:eastAsia="Times New Roman" w:hAnsi="Times New Roman" w:cs="Times New Roman"/>
      <w:color w:val="181818"/>
      <w:sz w:val="19"/>
      <w:szCs w:val="19"/>
    </w:rPr>
  </w:style>
  <w:style w:type="paragraph" w:customStyle="1" w:styleId="40">
    <w:name w:val="Основной текст (4)"/>
    <w:basedOn w:val="a"/>
    <w:link w:val="4"/>
    <w:pPr>
      <w:spacing w:after="270"/>
      <w:jc w:val="center"/>
    </w:pPr>
    <w:rPr>
      <w:rFonts w:ascii="Arial" w:eastAsia="Arial" w:hAnsi="Arial" w:cs="Arial"/>
      <w:color w:val="181818"/>
      <w:w w:val="70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394" w:lineRule="auto"/>
      <w:jc w:val="center"/>
    </w:pPr>
    <w:rPr>
      <w:rFonts w:ascii="Arial" w:eastAsia="Arial" w:hAnsi="Arial" w:cs="Arial"/>
      <w:color w:val="353535"/>
      <w:sz w:val="11"/>
      <w:szCs w:val="11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Pr>
      <w:rFonts w:ascii="Consolas" w:eastAsia="Consolas" w:hAnsi="Consolas" w:cs="Consolas"/>
      <w:color w:val="181818"/>
      <w:sz w:val="18"/>
      <w:szCs w:val="18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b/>
      <w:bCs/>
      <w:color w:val="EBEBEB"/>
      <w:w w:val="80"/>
      <w:sz w:val="17"/>
      <w:szCs w:val="17"/>
    </w:rPr>
  </w:style>
  <w:style w:type="paragraph" w:customStyle="1" w:styleId="70">
    <w:name w:val="Основной текст (7)"/>
    <w:basedOn w:val="a"/>
    <w:link w:val="7"/>
    <w:pPr>
      <w:jc w:val="center"/>
    </w:pPr>
    <w:rPr>
      <w:rFonts w:ascii="Arial" w:eastAsia="Arial" w:hAnsi="Arial" w:cs="Arial"/>
      <w:b/>
      <w:bCs/>
      <w:color w:val="EBEBEB"/>
      <w:w w:val="80"/>
      <w:sz w:val="17"/>
      <w:szCs w:val="17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270"/>
      <w:jc w:val="center"/>
    </w:pPr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 Константин Анатольевич</cp:lastModifiedBy>
  <cp:revision>2</cp:revision>
  <dcterms:created xsi:type="dcterms:W3CDTF">2024-08-22T10:50:00Z</dcterms:created>
  <dcterms:modified xsi:type="dcterms:W3CDTF">2024-08-22T10:51:00Z</dcterms:modified>
</cp:coreProperties>
</file>