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spacing w:before="240" w:after="60"/>
        <w:ind w:hanging="1134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160" w:line="252" w:lineRule="auto"/>
        <w:jc w:val="right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spacing w:line="240" w:lineRule="auto"/>
        <w:ind w:firstLine="709"/>
        <w:jc w:val="center"/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b/>
          <w:sz w:val="28"/>
          <w:szCs w:val="28"/>
          <w:lang w:eastAsia="en-US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b/>
          <w:bCs/>
        </w:rPr>
      </w:pP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  <w:t xml:space="preserve">Можно ли заранее заключить новый договор аренды </w:t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  <w:t xml:space="preserve">нежилого помещения, если срок предыдущего договора еще не истек?</w:t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#Жизненная_ситуация#Аренда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Договор аренды нежилого помещения с физическим лицом истекает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31.01.2025. Можно ли уже сейчас заключить новый договор, указав датой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начала аренды дату окончания предыдущего договора?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Отвечает начальник отдела регистрации договоров участия в долевом строительстве Управления Росреестра по Пермскому краю Елена Передернина.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Да, заключить договор можно и до 31.01.2025 года. 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Однако за государственной регистрацией договора аренды стороны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договора должны обратиться только в феврале 2025 года. Заранее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зарегистрировать новый договор аренды нежилого помещения, если срок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начала договора аренды еще не наступил, нельзя. Единый государственный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реестр недвижимости не может содержать две записи о регистрации двух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актуальных договоров аренды.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Вместе с тем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срок действия договора аренды нежилых помещений можно продлить, заключив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дополнительное соглашение к действующему договору. Государственная регистрация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такого соглашения возможна сразу после его подписания.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highlight w:val="none"/>
          <w:lang w:eastAsia="en-US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709"/>
        <w:jc w:val="both"/>
        <w:rPr>
          <w:rFonts w:ascii="Segoe UI" w:hAnsi="Segoe UI" w:cs="Segoe UI"/>
          <w:sz w:val="28"/>
          <w:szCs w:val="28"/>
          <w:lang w:eastAsia="en-US"/>
          <w14:ligatures w14:val="none"/>
        </w:rPr>
      </w:pP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</w:p>
    <w:p>
      <w:pPr>
        <w:spacing w:after="0" w:line="312" w:lineRule="auto"/>
        <w:ind w:firstLine="708"/>
        <w:jc w:val="both"/>
        <w:rPr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</w:rPr>
        <w:t xml:space="preserve">Об Управлении </w:t>
      </w:r>
      <w:r>
        <w:rPr>
          <w:rFonts w:ascii="Segoe UI" w:hAnsi="Segoe UI" w:eastAsia="Segoe UI" w:cs="Segoe UI"/>
        </w:rPr>
        <w:t xml:space="preserve">Росреестра</w:t>
      </w:r>
      <w:r>
        <w:rPr>
          <w:rFonts w:ascii="Segoe UI" w:hAnsi="Segoe UI" w:eastAsia="Segoe UI" w:cs="Segoe UI"/>
        </w:rPr>
        <w:t xml:space="preserve"> по Пермскому краю</w:t>
      </w: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</w:p>
    <w:p>
      <w:pPr>
        <w:widowControl w:val="off"/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Segoe UI" w:hAnsi="Segoe UI" w:eastAsia="Segoe UI" w:cs="Segoe UI"/>
          <w:sz w:val="18"/>
        </w:rPr>
        <w:t xml:space="preserve">Росреестр</w:t>
      </w:r>
      <w:r>
        <w:rPr>
          <w:rFonts w:ascii="Segoe UI" w:hAnsi="Segoe UI" w:eastAsia="Segoe UI" w:cs="Segoe UI"/>
          <w:sz w:val="18"/>
        </w:rPr>
        <w:t xml:space="preserve">) по Пермскому краю осуществляет функции по государственному кадастровому учету и государственн</w:t>
      </w:r>
      <w:r>
        <w:rPr>
          <w:rFonts w:ascii="Segoe UI" w:hAnsi="Segoe UI" w:eastAsia="Segoe UI" w:cs="Segoe UI"/>
          <w:sz w:val="18"/>
        </w:rPr>
        <w:t xml:space="preserve">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</w:t>
      </w:r>
      <w:r>
        <w:rPr>
          <w:rFonts w:ascii="Segoe UI" w:hAnsi="Segoe UI" w:eastAsia="Segoe UI" w:cs="Segoe UI"/>
          <w:sz w:val="18"/>
        </w:rPr>
        <w:t xml:space="preserve">битражных управляющих. Руководитель Управления </w:t>
      </w:r>
      <w:r>
        <w:rPr>
          <w:rFonts w:ascii="Segoe UI" w:hAnsi="Segoe UI" w:eastAsia="Segoe UI" w:cs="Segoe UI"/>
          <w:sz w:val="18"/>
        </w:rPr>
        <w:t xml:space="preserve">Росреестра</w:t>
      </w:r>
      <w:r>
        <w:rPr>
          <w:rFonts w:ascii="Segoe UI" w:hAnsi="Segoe UI" w:eastAsia="Segoe UI" w:cs="Segoe UI"/>
          <w:sz w:val="18"/>
        </w:rPr>
        <w:t xml:space="preserve"> по Пермскому краю – Лариса </w:t>
      </w:r>
      <w:r>
        <w:rPr>
          <w:rFonts w:ascii="Segoe UI" w:hAnsi="Segoe UI" w:eastAsia="Segoe UI" w:cs="Segoe UI"/>
          <w:sz w:val="18"/>
        </w:rPr>
        <w:t xml:space="preserve">Аржевитина</w:t>
      </w:r>
      <w:r>
        <w:rPr>
          <w:rFonts w:ascii="Segoe UI" w:hAnsi="Segoe UI" w:eastAsia="Segoe UI" w:cs="Segoe UI"/>
          <w:sz w:val="18"/>
        </w:rPr>
        <w:t xml:space="preserve">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hyperlink r:id="rId10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0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rPr>
          <w:trHeight w:val="1189"/>
        </w:trPr>
        <w:tblPrEx/>
        <w:tc>
          <w:tcPr>
            <w:tcW w:w="5211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2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3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0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rPr>
          <w:trHeight w:val="1052"/>
        </w:trPr>
        <w:tblPrEx/>
        <w:tc>
          <w:tcPr>
            <w:tcW w:w="3977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4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5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MT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0"/>
    <w:uiPriority w:val="10"/>
    <w:rPr>
      <w:sz w:val="48"/>
      <w:szCs w:val="48"/>
    </w:rPr>
  </w:style>
  <w:style w:type="character" w:styleId="680">
    <w:name w:val="Subtitle Char"/>
    <w:basedOn w:val="697"/>
    <w:link w:val="712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Header Char"/>
    <w:basedOn w:val="697"/>
    <w:link w:val="718"/>
    <w:uiPriority w:val="99"/>
  </w:style>
  <w:style w:type="character" w:styleId="684">
    <w:name w:val="Caption Char"/>
    <w:basedOn w:val="722"/>
    <w:link w:val="720"/>
    <w:uiPriority w:val="99"/>
  </w:style>
  <w:style w:type="character" w:styleId="685">
    <w:name w:val="Footnote Text Char"/>
    <w:link w:val="849"/>
    <w:uiPriority w:val="99"/>
    <w:rPr>
      <w:sz w:val="18"/>
    </w:rPr>
  </w:style>
  <w:style w:type="character" w:styleId="686">
    <w:name w:val="Endnote Text Char"/>
    <w:link w:val="852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after="0" w:line="240" w:lineRule="auto"/>
    </w:pPr>
  </w:style>
  <w:style w:type="paragraph" w:styleId="710">
    <w:name w:val="Title"/>
    <w:basedOn w:val="687"/>
    <w:next w:val="687"/>
    <w:link w:val="711"/>
    <w:uiPriority w:val="10"/>
    <w:qFormat/>
    <w:pPr>
      <w:spacing w:before="300"/>
      <w:contextualSpacing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65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9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8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7"/>
    <w:uiPriority w:val="99"/>
    <w:unhideWhenUsed/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7"/>
    <w:uiPriority w:val="99"/>
    <w:semiHidden/>
    <w:unhideWhenUsed/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spacing w:after="57"/>
    </w:pPr>
  </w:style>
  <w:style w:type="paragraph" w:styleId="856">
    <w:name w:val="toc 2"/>
    <w:basedOn w:val="687"/>
    <w:next w:val="687"/>
    <w:uiPriority w:val="39"/>
    <w:unhideWhenUsed/>
    <w:pPr>
      <w:spacing w:after="57"/>
      <w:ind w:left="283"/>
    </w:pPr>
  </w:style>
  <w:style w:type="paragraph" w:styleId="857">
    <w:name w:val="toc 3"/>
    <w:basedOn w:val="687"/>
    <w:next w:val="687"/>
    <w:uiPriority w:val="39"/>
    <w:unhideWhenUsed/>
    <w:pPr>
      <w:spacing w:after="57"/>
      <w:ind w:left="567"/>
    </w:pPr>
  </w:style>
  <w:style w:type="paragraph" w:styleId="858">
    <w:name w:val="toc 4"/>
    <w:basedOn w:val="687"/>
    <w:next w:val="687"/>
    <w:uiPriority w:val="39"/>
    <w:unhideWhenUsed/>
    <w:pPr>
      <w:spacing w:after="57"/>
      <w:ind w:left="850"/>
    </w:pPr>
  </w:style>
  <w:style w:type="paragraph" w:styleId="859">
    <w:name w:val="toc 5"/>
    <w:basedOn w:val="687"/>
    <w:next w:val="687"/>
    <w:uiPriority w:val="39"/>
    <w:unhideWhenUsed/>
    <w:pPr>
      <w:spacing w:after="57"/>
      <w:ind w:left="1134"/>
    </w:pPr>
  </w:style>
  <w:style w:type="paragraph" w:styleId="860">
    <w:name w:val="toc 6"/>
    <w:basedOn w:val="687"/>
    <w:next w:val="687"/>
    <w:uiPriority w:val="39"/>
    <w:unhideWhenUsed/>
    <w:pPr>
      <w:spacing w:after="57"/>
      <w:ind w:left="1417"/>
    </w:pPr>
  </w:style>
  <w:style w:type="paragraph" w:styleId="861">
    <w:name w:val="toc 7"/>
    <w:basedOn w:val="687"/>
    <w:next w:val="687"/>
    <w:uiPriority w:val="39"/>
    <w:unhideWhenUsed/>
    <w:pPr>
      <w:spacing w:after="57"/>
      <w:ind w:left="1701"/>
    </w:pPr>
  </w:style>
  <w:style w:type="paragraph" w:styleId="862">
    <w:name w:val="toc 8"/>
    <w:basedOn w:val="687"/>
    <w:next w:val="687"/>
    <w:uiPriority w:val="39"/>
    <w:unhideWhenUsed/>
    <w:pPr>
      <w:spacing w:after="57"/>
      <w:ind w:left="1984"/>
    </w:pPr>
  </w:style>
  <w:style w:type="paragraph" w:styleId="863">
    <w:name w:val="toc 9"/>
    <w:basedOn w:val="687"/>
    <w:next w:val="687"/>
    <w:uiPriority w:val="39"/>
    <w:unhideWhenUsed/>
    <w:pPr>
      <w:spacing w:after="57"/>
      <w:ind w:left="2268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7"/>
    <w:next w:val="687"/>
    <w:uiPriority w:val="99"/>
    <w:unhideWhenUsed/>
    <w:pPr>
      <w:spacing w:after="0"/>
    </w:pPr>
  </w:style>
  <w:style w:type="paragraph" w:styleId="866">
    <w:name w:val="List Paragraph"/>
    <w:basedOn w:val="687"/>
    <w:uiPriority w:val="34"/>
    <w:qFormat/>
    <w:pPr>
      <w:ind w:left="720"/>
      <w:contextualSpacing/>
    </w:pPr>
  </w:style>
  <w:style w:type="paragraph" w:styleId="867">
    <w:name w:val="Balloon Text"/>
    <w:basedOn w:val="687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7"/>
    <w:link w:val="867"/>
    <w:uiPriority w:val="99"/>
    <w:semiHidden/>
    <w:rPr>
      <w:rFonts w:ascii="Segoe UI" w:hAnsi="Segoe UI" w:cs="Segoe UI"/>
      <w:sz w:val="18"/>
      <w:szCs w:val="18"/>
    </w:rPr>
  </w:style>
  <w:style w:type="character" w:styleId="869">
    <w:name w:val="Hyperlink"/>
    <w:basedOn w:val="697"/>
    <w:uiPriority w:val="99"/>
    <w:unhideWhenUsed/>
    <w:rPr>
      <w:color w:val="0000ff" w:themeColor="hyperlink"/>
      <w:u w:val="single"/>
    </w:rPr>
  </w:style>
  <w:style w:type="table" w:styleId="870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1"/>
    <w:basedOn w:val="698"/>
    <w:next w:val="870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Body Text"/>
    <w:basedOn w:val="687"/>
    <w:link w:val="873"/>
    <w:uiPriority w:val="99"/>
    <w:unhideWhenUsed/>
    <w:pPr>
      <w:spacing w:after="0" w:line="360" w:lineRule="exact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character" w:styleId="873" w:customStyle="1">
    <w:name w:val="Основной текст Знак"/>
    <w:basedOn w:val="697"/>
    <w:link w:val="872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874" w:customStyle="1">
    <w:name w:val="fontstyle01"/>
    <w:rPr>
      <w:rFonts w:ascii="ArialMT" w:hAnsi="ArialMT"/>
      <w:b w:val="0"/>
      <w:bCs w:val="0"/>
      <w:i w:val="0"/>
      <w:iCs w:val="0"/>
      <w:color w:val="008cf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rosreestr.gov.ru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11</cp:revision>
  <dcterms:created xsi:type="dcterms:W3CDTF">2024-12-02T13:43:00Z</dcterms:created>
  <dcterms:modified xsi:type="dcterms:W3CDTF">2024-12-26T04:17:05Z</dcterms:modified>
</cp:coreProperties>
</file>