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eastAsia="Segoe UI" w:cs="Segoe UI"/>
          <w:b/>
          <w:sz w:val="28"/>
          <w:szCs w:val="28"/>
          <w:lang w:eastAsia="en-US"/>
        </w:rPr>
        <w:t xml:space="preserve">Публичная кадастровая карта теперь на цифровой платформе НСПД</w:t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sz w:val="28"/>
          <w:szCs w:val="28"/>
          <w:lang w:eastAsia="en-US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Один из популярных сервисов Росреестра – Публичная кадастровая карта (ПКК) перенесена на Единую цифровую платформу «Национальная система пространственных данных» (НСПД) (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https://nspd.gov.ru). 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/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ПКК размещена на главной странице портала НСПД и доступна всем его пользователям без необходимости авторизации и без взимания платы. На ПКК сохранился весь обязательный состав слоев и добавились новые возможности для пользователей. 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Со страницы ресурса пользователи теперь сразу смогут перейти к сервисам НСПД или, выбрав объект, запросить соответствующие сведения в виде выписки из ЕГРН. Это стало очередным шагом ведомства в сто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рону клиентоцентричности.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Пр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оекты «Земля для стройки» и «Земля для туризма», которые ранее располагались на ПКК, теперь также перенесены в сервисную часть НСПД и трансформированы в полноценные сервисы для граждан и бизнеса. С их помощью можно подобрать земельные участки и территории 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для жилищного строительства или реализации туристических проектов.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/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Самые популярным запросом пользователя является поиск земельного участка, проверка установления его точных границ и нахождения в различных охранных зонах, что может повлиять на совершении сделки или на ограничения по строительству дома. </w:t>
      </w:r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Также на карте можно получить справочную информацию о территории выполнения комплексных кадастровых работ, ознакомится с информацией о договоре на выполнение работ, сроках,заказчике и исполнителе работ. К ним можно обратиться в случае возникн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овения вопросов по установлению границ объектов недвижимости.</w:t>
      </w:r>
      <w:r/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При возникновении вопросов пользователям  рекомендуется обратиться в техниче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  <w:t xml:space="preserve">скую поддержку портала НСПД для разъяснений.</w:t>
      </w:r>
      <w:r>
        <w:rPr>
          <w:rFonts w:ascii="Segoe UI" w:hAnsi="Segoe UI" w:cs="Segoe UI"/>
          <w:b w:val="0"/>
          <w:bCs w:val="0"/>
          <w:sz w:val="28"/>
          <w:szCs w:val="28"/>
          <w14:ligatures w14:val="none"/>
        </w:rPr>
      </w:r>
      <w:r/>
    </w:p>
    <w:p>
      <w:pPr>
        <w:jc w:val="both"/>
        <w:spacing w:after="0" w:line="240" w:lineRule="auto"/>
        <w:rPr>
          <w:rFonts w:ascii="Segoe UI" w:hAnsi="Segoe UI" w:eastAsia="Segoe UI" w:cs="Segoe UI"/>
          <w:sz w:val="26"/>
        </w:rPr>
      </w:pPr>
      <w:r>
        <w:object w:dxaOrig="9494" w:dyaOrig="4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4.00pt;height:2.40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1" ProgID="StaticMetafile" ShapeID="_x0000_i1" Type="Embed"/>
        </w:object>
      </w:r>
      <w:r>
        <w:rPr>
          <w:rFonts w:ascii="Segoe UI" w:hAnsi="Segoe UI" w:eastAsia="Segoe UI" w:cs="Segoe UI"/>
          <w:sz w:val="26"/>
        </w:rPr>
      </w:r>
      <w:r>
        <w:rPr>
          <w:rFonts w:ascii="Segoe UI" w:hAnsi="Segoe UI" w:eastAsia="Segoe UI" w:cs="Segoe UI"/>
          <w:sz w:val="26"/>
        </w:rPr>
      </w:r>
    </w:p>
    <w:p>
      <w:pPr>
        <w:ind w:firstLine="708"/>
        <w:jc w:val="both"/>
        <w:spacing w:after="0" w:line="31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Об Управлении Росреестра по Пермскому краю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widowControl w:val="off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(Росреестр) по Пермскому краю осуществля</w:t>
      </w:r>
      <w:r>
        <w:rPr>
          <w:rFonts w:ascii="Segoe UI" w:hAnsi="Segoe UI" w:eastAsia="Segoe UI" w:cs="Segoe UI"/>
          <w:sz w:val="18"/>
        </w:rPr>
        <w:t xml:space="preserve">ет</w:t>
      </w:r>
      <w:r>
        <w:rPr>
          <w:rFonts w:ascii="Segoe UI" w:hAnsi="Segoe UI" w:eastAsia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>
        <w:rPr>
          <w:rFonts w:ascii="Segoe UI" w:hAnsi="Segoe UI" w:eastAsia="Segoe UI" w:cs="Segoe UI"/>
          <w:sz w:val="18"/>
        </w:rPr>
        <w:t xml:space="preserve">г</w:t>
      </w:r>
      <w:r>
        <w:rPr>
          <w:rFonts w:ascii="Segoe UI" w:hAnsi="Segoe UI" w:eastAsia="Segoe UI" w:cs="Segoe UI"/>
          <w:sz w:val="18"/>
        </w:rPr>
        <w:t xml:space="preserve">осударственного мониторинга земель, государственному надзору в области геодезии</w:t>
      </w:r>
      <w:r>
        <w:rPr>
          <w:rFonts w:ascii="Segoe UI" w:hAnsi="Segoe UI" w:eastAsia="Segoe UI" w:cs="Segoe UI"/>
          <w:sz w:val="18"/>
        </w:rPr>
        <w:t xml:space="preserve">, </w:t>
      </w:r>
      <w:r>
        <w:rPr>
          <w:rFonts w:ascii="Segoe UI" w:hAnsi="Segoe UI" w:eastAsia="Segoe UI" w:cs="Segoe UI"/>
          <w:sz w:val="18"/>
        </w:rPr>
        <w:t xml:space="preserve">картографии</w:t>
      </w:r>
      <w:r>
        <w:rPr>
          <w:rFonts w:ascii="Segoe UI" w:hAnsi="Segoe UI" w:eastAsia="Segoe UI" w:cs="Segoe UI"/>
          <w:sz w:val="18"/>
        </w:rPr>
        <w:t xml:space="preserve"> и </w:t>
      </w:r>
      <w:r>
        <w:rPr>
          <w:rFonts w:ascii="Segoe UI" w:hAnsi="Segoe UI" w:eastAsia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>
        <w:rPr>
          <w:rFonts w:ascii="Segoe UI" w:hAnsi="Segoe UI" w:eastAsia="Segoe UI" w:cs="Segoe UI"/>
          <w:sz w:val="18"/>
        </w:rPr>
        <w:t xml:space="preserve">кадастровых инженеров и арбитражных управляющих.</w:t>
      </w:r>
      <w:r>
        <w:rPr>
          <w:rFonts w:ascii="Segoe UI" w:hAnsi="Segoe UI" w:eastAsia="Segoe UI" w:cs="Segoe UI"/>
          <w:sz w:val="18"/>
        </w:rPr>
        <w:t xml:space="preserve"> Руководитель Управления Росреестра по Пермскому краю – Лариса Аржевитина.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(Росреестр)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</w:t>
      </w:r>
      <w:r>
        <w:rPr>
          <w:rFonts w:ascii="Segoe UI" w:hAnsi="Segoe UI" w:eastAsia="Segoe UI" w:cs="Segoe UI"/>
          <w:color w:val="000000"/>
        </w:rPr>
        <w:t xml:space="preserve">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2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59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82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3872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59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4896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7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2"/>
    <w:link w:val="703"/>
    <w:uiPriority w:val="99"/>
  </w:style>
  <w:style w:type="paragraph" w:styleId="705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2"/>
    <w:link w:val="70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List Paragraph"/>
    <w:basedOn w:val="851"/>
    <w:uiPriority w:val="34"/>
    <w:qFormat/>
    <w:pPr>
      <w:contextualSpacing/>
      <w:ind w:left="720"/>
    </w:pPr>
  </w:style>
  <w:style w:type="paragraph" w:styleId="856">
    <w:name w:val="Balloon Text"/>
    <w:basedOn w:val="851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2"/>
    <w:link w:val="856"/>
    <w:uiPriority w:val="99"/>
    <w:semiHidden/>
    <w:rPr>
      <w:rFonts w:ascii="Segoe UI" w:hAnsi="Segoe UI" w:cs="Segoe UI"/>
      <w:sz w:val="18"/>
      <w:szCs w:val="18"/>
    </w:rPr>
  </w:style>
  <w:style w:type="character" w:styleId="858">
    <w:name w:val="Hyperlink"/>
    <w:basedOn w:val="852"/>
    <w:uiPriority w:val="99"/>
    <w:unhideWhenUsed/>
    <w:rPr>
      <w:color w:val="0000ff" w:themeColor="hyperlink"/>
      <w:u w:val="single"/>
    </w:rPr>
  </w:style>
  <w:style w:type="table" w:styleId="859">
    <w:name w:val="Table Grid"/>
    <w:basedOn w:val="8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1"/>
    <w:basedOn w:val="853"/>
    <w:next w:val="859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>
    <w:name w:val="Emphasis"/>
    <w:basedOn w:val="85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hyperlink" Target="http://rosreestr.gov.ru/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35</cp:revision>
  <dcterms:created xsi:type="dcterms:W3CDTF">2024-10-24T10:38:00Z</dcterms:created>
  <dcterms:modified xsi:type="dcterms:W3CDTF">2025-03-03T03:44:29Z</dcterms:modified>
</cp:coreProperties>
</file>