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7F" w:rsidRDefault="007D3D7F" w:rsidP="007D3D7F">
      <w:pPr>
        <w:pStyle w:val="1"/>
        <w:framePr w:w="9706" w:h="350" w:hRule="exact" w:wrap="none" w:vAnchor="page" w:hAnchor="page" w:x="1401" w:y="862"/>
        <w:ind w:firstLine="0"/>
        <w:jc w:val="center"/>
      </w:pPr>
      <w:r>
        <w:rPr>
          <w:b/>
          <w:bCs/>
          <w:color w:val="000000"/>
        </w:rPr>
        <w:t>Совет по условиям и охране труда в Пермском крае</w:t>
      </w:r>
    </w:p>
    <w:p w:rsidR="007D3D7F" w:rsidRDefault="007D3D7F" w:rsidP="007D3D7F">
      <w:pPr>
        <w:pStyle w:val="11"/>
        <w:framePr w:w="9706" w:h="341" w:hRule="exact" w:wrap="none" w:vAnchor="page" w:hAnchor="page" w:x="1401" w:y="1510"/>
        <w:spacing w:after="0"/>
        <w:ind w:firstLine="0"/>
        <w:jc w:val="center"/>
      </w:pPr>
      <w:bookmarkStart w:id="0" w:name="bookmark17"/>
      <w:bookmarkStart w:id="1" w:name="bookmark18"/>
      <w:bookmarkStart w:id="2" w:name="bookmark19"/>
      <w:r>
        <w:rPr>
          <w:color w:val="000000"/>
        </w:rPr>
        <w:t>РЕШЕНИЕ</w:t>
      </w:r>
      <w:bookmarkEnd w:id="0"/>
      <w:bookmarkEnd w:id="1"/>
      <w:bookmarkEnd w:id="2"/>
    </w:p>
    <w:p w:rsidR="007D3D7F" w:rsidRDefault="007D3D7F" w:rsidP="007D3D7F">
      <w:pPr>
        <w:pStyle w:val="1"/>
        <w:framePr w:wrap="none" w:vAnchor="page" w:hAnchor="page" w:x="1401" w:y="2129"/>
        <w:ind w:left="3" w:right="8073" w:firstLine="280"/>
        <w:jc w:val="both"/>
      </w:pPr>
      <w:r>
        <w:rPr>
          <w:color w:val="000000"/>
        </w:rPr>
        <w:t>09.06. 2025</w:t>
      </w:r>
    </w:p>
    <w:p w:rsidR="007D3D7F" w:rsidRDefault="007D3D7F" w:rsidP="007D3D7F">
      <w:pPr>
        <w:pStyle w:val="1"/>
        <w:framePr w:wrap="none" w:vAnchor="page" w:hAnchor="page" w:x="10401" w:y="2124"/>
        <w:ind w:firstLine="0"/>
      </w:pPr>
      <w:r>
        <w:rPr>
          <w:color w:val="000000"/>
        </w:rPr>
        <w:t>№4</w:t>
      </w:r>
    </w:p>
    <w:p w:rsidR="007D3D7F" w:rsidRDefault="007D3D7F" w:rsidP="007D3D7F">
      <w:pPr>
        <w:pStyle w:val="1"/>
        <w:framePr w:w="9706" w:h="1320" w:hRule="exact" w:wrap="none" w:vAnchor="page" w:hAnchor="page" w:x="1401" w:y="3497"/>
        <w:ind w:firstLine="0"/>
        <w:jc w:val="center"/>
      </w:pPr>
      <w:r>
        <w:rPr>
          <w:b/>
          <w:bCs/>
          <w:color w:val="000000"/>
        </w:rPr>
        <w:t>О профилактике инфекций, передаваемых клещами</w:t>
      </w:r>
      <w:r>
        <w:rPr>
          <w:b/>
          <w:bCs/>
          <w:color w:val="000000"/>
        </w:rPr>
        <w:br/>
        <w:t>(клещевого вирусного энцефалита, болезни Лайма)</w:t>
      </w:r>
      <w:r>
        <w:rPr>
          <w:b/>
          <w:bCs/>
          <w:color w:val="000000"/>
        </w:rPr>
        <w:br/>
        <w:t>и природно-очаговых инфекций (ГЛПС, лептоспироза, туляремии)</w:t>
      </w:r>
      <w:r>
        <w:rPr>
          <w:b/>
          <w:bCs/>
          <w:color w:val="000000"/>
        </w:rPr>
        <w:br/>
        <w:t>на предприятиях и в организациях Пермского края</w:t>
      </w:r>
    </w:p>
    <w:p w:rsidR="007D3D7F" w:rsidRDefault="007D3D7F" w:rsidP="007D3D7F">
      <w:pPr>
        <w:pStyle w:val="1"/>
        <w:framePr w:w="9706" w:h="10310" w:hRule="exact" w:wrap="none" w:vAnchor="page" w:hAnchor="page" w:x="1401" w:y="5292"/>
        <w:spacing w:line="271" w:lineRule="auto"/>
        <w:ind w:firstLine="720"/>
        <w:jc w:val="both"/>
      </w:pPr>
      <w:r>
        <w:rPr>
          <w:color w:val="000000"/>
        </w:rPr>
        <w:t>Наличие благоприятных условий для поддержания популяции основных хозяев и источников возбудителей, переносчиков геморрагической лихорадки с почечным синдромом (далее - ГЛПС), туляремии, лептоспироза, клещевого вирусного энцефалита (далее - КВЭ), иксодового клещевого боррелиоза (далее - ИКБ) обусловило формирование стойких природных очагов на всей территории края.</w:t>
      </w:r>
    </w:p>
    <w:p w:rsidR="007D3D7F" w:rsidRDefault="007D3D7F" w:rsidP="007D3D7F">
      <w:pPr>
        <w:pStyle w:val="1"/>
        <w:framePr w:w="9706" w:h="10310" w:hRule="exact" w:wrap="none" w:vAnchor="page" w:hAnchor="page" w:x="1401" w:y="5292"/>
        <w:ind w:firstLine="720"/>
        <w:jc w:val="both"/>
      </w:pPr>
      <w:r>
        <w:rPr>
          <w:color w:val="000000"/>
        </w:rPr>
        <w:t xml:space="preserve">Для снижения заболеваемости населения природно-очаговыми инфекциями на территории Пермского края необходимо проведение всего комплекса профилактических и противоэпидемических мероприятий, включая акарицидные и дератизационные обработки, вакцинацию населения (в т. ч. среди групп риска </w:t>
      </w:r>
      <w:r>
        <w:rPr>
          <w:color w:val="03043B"/>
        </w:rPr>
        <w:t xml:space="preserve">- </w:t>
      </w:r>
      <w:r>
        <w:rPr>
          <w:color w:val="000000"/>
        </w:rPr>
        <w:t>против КВЭ, лептоспироза, туляремии) и санитарно-разъяснительную работу среди населения Пермского края.</w:t>
      </w:r>
    </w:p>
    <w:p w:rsidR="007D3D7F" w:rsidRDefault="007D3D7F" w:rsidP="007D3D7F">
      <w:pPr>
        <w:pStyle w:val="1"/>
        <w:framePr w:w="9706" w:h="10310" w:hRule="exact" w:wrap="none" w:vAnchor="page" w:hAnchor="page" w:x="1401" w:y="5292"/>
        <w:ind w:firstLine="720"/>
        <w:jc w:val="both"/>
      </w:pPr>
      <w:r>
        <w:rPr>
          <w:color w:val="000000"/>
        </w:rPr>
        <w:t xml:space="preserve">Заслушав информацию главного внештатного специалиста эпидемиолога Министерства здравоохранения Пермского края Семерикова В.В. и заместителя начальника отдела эпидемиологического надзора Управления Роспотребнадзора по Пермскому краю Шутовой Т.В., Совет по условиям и охране труда в Пермском крае </w:t>
      </w:r>
      <w:r>
        <w:rPr>
          <w:b/>
          <w:bCs/>
          <w:color w:val="000000"/>
        </w:rPr>
        <w:t>РЕШИЛ рекомендовать:</w:t>
      </w:r>
    </w:p>
    <w:p w:rsidR="007D3D7F" w:rsidRDefault="007D3D7F" w:rsidP="007D3D7F">
      <w:pPr>
        <w:pStyle w:val="11"/>
        <w:framePr w:w="9706" w:h="10310" w:hRule="exact" w:wrap="none" w:vAnchor="page" w:hAnchor="page" w:x="1401" w:y="5292"/>
        <w:numPr>
          <w:ilvl w:val="0"/>
          <w:numId w:val="1"/>
        </w:numPr>
        <w:tabs>
          <w:tab w:val="left" w:pos="1200"/>
        </w:tabs>
        <w:spacing w:after="0" w:line="269" w:lineRule="auto"/>
        <w:ind w:firstLine="720"/>
        <w:jc w:val="both"/>
      </w:pPr>
      <w:bookmarkStart w:id="3" w:name="bookmark22"/>
      <w:bookmarkStart w:id="4" w:name="bookmark20"/>
      <w:bookmarkStart w:id="5" w:name="bookmark21"/>
      <w:bookmarkStart w:id="6" w:name="bookmark23"/>
      <w:bookmarkEnd w:id="3"/>
      <w:r>
        <w:rPr>
          <w:color w:val="000000"/>
        </w:rPr>
        <w:t>Руководителям хозяйствующих субъектов Пермского края вне зависимости от форм собственности:</w:t>
      </w:r>
      <w:bookmarkEnd w:id="4"/>
      <w:bookmarkEnd w:id="5"/>
      <w:bookmarkEnd w:id="6"/>
    </w:p>
    <w:p w:rsidR="007D3D7F" w:rsidRDefault="007D3D7F" w:rsidP="007D3D7F">
      <w:pPr>
        <w:pStyle w:val="1"/>
        <w:framePr w:w="9706" w:h="10310" w:hRule="exact" w:wrap="none" w:vAnchor="page" w:hAnchor="page" w:x="1401" w:y="5292"/>
        <w:numPr>
          <w:ilvl w:val="1"/>
          <w:numId w:val="1"/>
        </w:numPr>
        <w:tabs>
          <w:tab w:val="left" w:pos="1230"/>
        </w:tabs>
        <w:spacing w:line="269" w:lineRule="auto"/>
        <w:ind w:firstLine="720"/>
        <w:jc w:val="both"/>
      </w:pPr>
      <w:bookmarkStart w:id="7" w:name="bookmark24"/>
      <w:bookmarkEnd w:id="7"/>
      <w:r>
        <w:rPr>
          <w:color w:val="000000"/>
        </w:rPr>
        <w:t>Обеспечить:</w:t>
      </w:r>
    </w:p>
    <w:p w:rsidR="007D3D7F" w:rsidRDefault="007D3D7F" w:rsidP="007D3D7F">
      <w:pPr>
        <w:pStyle w:val="1"/>
        <w:framePr w:w="9706" w:h="10310" w:hRule="exact" w:wrap="none" w:vAnchor="page" w:hAnchor="page" w:x="1401" w:y="5292"/>
        <w:spacing w:after="320" w:line="269" w:lineRule="auto"/>
        <w:ind w:firstLine="720"/>
        <w:jc w:val="both"/>
      </w:pPr>
      <w:r>
        <w:rPr>
          <w:color w:val="000000"/>
        </w:rPr>
        <w:t>исполнение решения межведомственной санитарно - противоэпидемической комиссии при Правительстве Пермского края № 166 от 25.12.2024 «Об эпидемиологической ситуации в Пермском крае по природно-очаговым инфекциям», плана комплексных мероприятий по профилактики заболеваемости природно-очаговыми инфекциями актуальных для территории Пермского края (геморрагическая лихорадка с почечным синдромом, клещевой вирусный энцефалит, иксодовый клещевой боррелиоз, лептоспироз, туляремия) на 2024-2026 гг., в том числе:</w:t>
      </w:r>
    </w:p>
    <w:p w:rsidR="007D3D7F" w:rsidRDefault="007D3D7F" w:rsidP="007D3D7F">
      <w:pPr>
        <w:pStyle w:val="40"/>
        <w:framePr w:w="9706" w:h="10310" w:hRule="exact" w:wrap="none" w:vAnchor="page" w:hAnchor="page" w:x="1401" w:y="5292"/>
        <w:spacing w:after="0"/>
      </w:pPr>
      <w:r>
        <w:rPr>
          <w:color w:val="000000"/>
          <w:sz w:val="24"/>
          <w:szCs w:val="24"/>
        </w:rPr>
        <w:t>1</w:t>
      </w:r>
    </w:p>
    <w:p w:rsidR="007D3D7F" w:rsidRDefault="007D3D7F" w:rsidP="007D3D7F">
      <w:pPr>
        <w:framePr w:wrap="none" w:vAnchor="page" w:hAnchor="page" w:x="11611" w:y="16025"/>
        <w:rPr>
          <w:sz w:val="2"/>
          <w:szCs w:val="2"/>
        </w:rPr>
      </w:pPr>
    </w:p>
    <w:p w:rsidR="007D3D7F" w:rsidRDefault="007D3D7F" w:rsidP="007D3D7F">
      <w:pPr>
        <w:spacing w:line="1" w:lineRule="exact"/>
      </w:pPr>
    </w:p>
    <w:p w:rsidR="007D3D7F" w:rsidRPr="007D3D7F" w:rsidRDefault="007D3D7F" w:rsidP="007D3D7F"/>
    <w:p w:rsidR="007D3D7F" w:rsidRPr="007D3D7F" w:rsidRDefault="007D3D7F" w:rsidP="007D3D7F"/>
    <w:p w:rsidR="007D3D7F" w:rsidRPr="007D3D7F" w:rsidRDefault="007D3D7F" w:rsidP="007D3D7F"/>
    <w:p w:rsidR="007D3D7F" w:rsidRPr="007D3D7F" w:rsidRDefault="007D3D7F" w:rsidP="007D3D7F"/>
    <w:p w:rsidR="007D3D7F" w:rsidRPr="007D3D7F" w:rsidRDefault="007D3D7F" w:rsidP="007D3D7F"/>
    <w:p w:rsidR="007D3D7F" w:rsidRPr="007D3D7F" w:rsidRDefault="007D3D7F" w:rsidP="007D3D7F"/>
    <w:p w:rsidR="007D3D7F" w:rsidRPr="007D3D7F" w:rsidRDefault="007D3D7F" w:rsidP="007D3D7F"/>
    <w:p w:rsidR="007D3D7F" w:rsidRPr="007D3D7F" w:rsidRDefault="007D3D7F" w:rsidP="007D3D7F"/>
    <w:p w:rsidR="007D3D7F" w:rsidRPr="007D3D7F" w:rsidRDefault="007D3D7F" w:rsidP="007D3D7F">
      <w:pPr>
        <w:tabs>
          <w:tab w:val="left" w:pos="7380"/>
        </w:tabs>
        <w:sectPr w:rsidR="007D3D7F" w:rsidRPr="007D3D7F">
          <w:pgSz w:w="11900" w:h="16840"/>
          <w:pgMar w:top="360" w:right="360" w:bottom="490" w:left="36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7D3D7F" w:rsidRDefault="007D3D7F" w:rsidP="007D3D7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B534CC" wp14:editId="5EB74C6D">
                <wp:simplePos x="0" y="0"/>
                <wp:positionH relativeFrom="page">
                  <wp:posOffset>1905</wp:posOffset>
                </wp:positionH>
                <wp:positionV relativeFrom="page">
                  <wp:posOffset>10076815</wp:posOffset>
                </wp:positionV>
                <wp:extent cx="755459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459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354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1" o:spid="_x0000_s1026" type="#_x0000_t32" style="position:absolute;margin-left:.15pt;margin-top:793.45pt;width:594.8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" strokeweight=".95pt">
                <w10:wrap anchorx="page" anchory="page"/>
              </v:shape>
            </w:pict>
          </mc:Fallback>
        </mc:AlternateConten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spacing w:line="269" w:lineRule="auto"/>
        <w:ind w:firstLine="720"/>
        <w:jc w:val="both"/>
      </w:pPr>
      <w:r>
        <w:rPr>
          <w:color w:val="000000"/>
        </w:rPr>
        <w:t>надлежащее санитарное содержание зданий и сооружений, территории, предусмотрев обязательную санитарную очистку территорий;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spacing w:line="269" w:lineRule="auto"/>
        <w:ind w:firstLine="720"/>
        <w:jc w:val="both"/>
      </w:pPr>
      <w:r>
        <w:rPr>
          <w:color w:val="000000"/>
        </w:rPr>
        <w:t>систематическое проведение дератизационных мероприятий в жилых зданиях, помещениях, сооружениях, балансодержателями которых они являются, и на прилегающей к ним территории, в том числе в даты, утвержденные муниципальным образованием по сплошной дератизации;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spacing w:line="269" w:lineRule="auto"/>
        <w:ind w:firstLine="720"/>
        <w:jc w:val="both"/>
      </w:pPr>
      <w:r>
        <w:rPr>
          <w:color w:val="000000"/>
        </w:rPr>
        <w:t>в период активной миграции грызунов (весна и осень) проведение барьерной дератизации открытых территорий, прилегающих к жилым зданиям, помещениям, сооружениям, балансодержателями которых они являются;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ind w:firstLine="720"/>
        <w:jc w:val="both"/>
      </w:pPr>
      <w:r>
        <w:rPr>
          <w:color w:val="000000"/>
        </w:rPr>
        <w:t>проведение единовременной сплошной объектовой дератизации в соответствии с планами муниципальных образований;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ind w:firstLine="720"/>
        <w:jc w:val="both"/>
      </w:pPr>
      <w:r>
        <w:rPr>
          <w:color w:val="000000"/>
        </w:rPr>
        <w:t>привлечение к акарицидным, дератизационным, ларвицидным обработкам только организации, имеющие лицензию на данный вид деятельности;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ind w:firstLine="720"/>
        <w:jc w:val="both"/>
      </w:pPr>
      <w:r>
        <w:rPr>
          <w:color w:val="000000"/>
        </w:rPr>
        <w:t>проведение работ по предотвращению заселения грызунами бытовых помещений, предназначенных для проживания, питания и отдыха работников, расположенных на открытых территориях;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ind w:firstLine="720"/>
        <w:jc w:val="both"/>
      </w:pPr>
      <w:r>
        <w:rPr>
          <w:color w:val="000000"/>
        </w:rPr>
        <w:t>иммунизацию сотрудников предприятия (организации) против КВЭ в рамках регионального календаря профилактических прививок с охватом 90 % работников;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ind w:firstLine="720"/>
        <w:jc w:val="both"/>
      </w:pPr>
      <w:r>
        <w:rPr>
          <w:color w:val="000000"/>
        </w:rPr>
        <w:t>допуск в природный очаг КВЭ только вакцинированных против клещевого энцефалита работников;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ind w:firstLine="720"/>
        <w:jc w:val="both"/>
      </w:pPr>
      <w:r>
        <w:rPr>
          <w:color w:val="000000"/>
        </w:rPr>
        <w:t>допуск в природный очаг туляремии только вакцинированных против туляремии работников;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ind w:firstLine="720"/>
        <w:jc w:val="both"/>
      </w:pPr>
      <w:r>
        <w:rPr>
          <w:color w:val="000000"/>
        </w:rPr>
        <w:t>работников при осуществлении деятельности в природных очагах КВЭ, ИКБ, ГЛПС, туляремии, лептоспироза средствами индивидуальной защиты.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numPr>
          <w:ilvl w:val="1"/>
          <w:numId w:val="1"/>
        </w:numPr>
        <w:tabs>
          <w:tab w:val="left" w:pos="1320"/>
        </w:tabs>
        <w:spacing w:line="262" w:lineRule="auto"/>
        <w:ind w:firstLine="720"/>
        <w:jc w:val="both"/>
      </w:pPr>
      <w:bookmarkStart w:id="9" w:name="bookmark25"/>
      <w:bookmarkEnd w:id="9"/>
      <w:r>
        <w:rPr>
          <w:color w:val="000000"/>
        </w:rPr>
        <w:t>Принять меры по повышению грызунонепроницаемости зданий и сооружений.</w:t>
      </w:r>
    </w:p>
    <w:p w:rsidR="007D3D7F" w:rsidRDefault="007D3D7F" w:rsidP="007D3D7F">
      <w:pPr>
        <w:pStyle w:val="1"/>
        <w:framePr w:w="9706" w:h="13642" w:hRule="exact" w:wrap="none" w:vAnchor="page" w:hAnchor="page" w:x="1401" w:y="433"/>
        <w:numPr>
          <w:ilvl w:val="1"/>
          <w:numId w:val="1"/>
        </w:numPr>
        <w:tabs>
          <w:tab w:val="left" w:pos="1498"/>
        </w:tabs>
        <w:ind w:firstLine="720"/>
        <w:jc w:val="both"/>
      </w:pPr>
      <w:bookmarkStart w:id="10" w:name="bookmark26"/>
      <w:bookmarkEnd w:id="10"/>
      <w:r>
        <w:rPr>
          <w:color w:val="000000"/>
        </w:rPr>
        <w:t>Рекомендовать в бытовых помещениях, предназначенных для проживания, питания и отдыха работников, расположенных на открытых территориях, проведение текущей дезинфекции по вирусному режиму.</w:t>
      </w:r>
    </w:p>
    <w:p w:rsidR="00155DD1" w:rsidRDefault="00155DD1"/>
    <w:sectPr w:rsidR="0015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919BF"/>
    <w:multiLevelType w:val="multilevel"/>
    <w:tmpl w:val="ED242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27"/>
    <w:rsid w:val="00155DD1"/>
    <w:rsid w:val="007D3D7F"/>
    <w:rsid w:val="00F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AA266-B382-4703-88E8-B74D6393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3D7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3D7F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Колонтитул_"/>
    <w:basedOn w:val="a0"/>
    <w:link w:val="a5"/>
    <w:rsid w:val="007D3D7F"/>
    <w:rPr>
      <w:rFonts w:ascii="Arial" w:eastAsia="Arial" w:hAnsi="Arial" w:cs="Arial"/>
      <w:sz w:val="16"/>
      <w:szCs w:val="16"/>
    </w:rPr>
  </w:style>
  <w:style w:type="character" w:customStyle="1" w:styleId="10">
    <w:name w:val="Заголовок №1_"/>
    <w:basedOn w:val="a0"/>
    <w:link w:val="11"/>
    <w:rsid w:val="007D3D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7D3D7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D3D7F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Колонтитул"/>
    <w:basedOn w:val="a"/>
    <w:link w:val="a4"/>
    <w:rsid w:val="007D3D7F"/>
    <w:pPr>
      <w:spacing w:line="214" w:lineRule="auto"/>
    </w:pPr>
    <w:rPr>
      <w:rFonts w:ascii="Arial" w:eastAsia="Arial" w:hAnsi="Arial" w:cs="Arial"/>
      <w:color w:val="auto"/>
      <w:sz w:val="16"/>
      <w:szCs w:val="16"/>
      <w:shd w:val="clear" w:color="auto" w:fill="FFFFFF"/>
      <w:lang w:eastAsia="en-US" w:bidi="ar-SA"/>
    </w:rPr>
  </w:style>
  <w:style w:type="paragraph" w:customStyle="1" w:styleId="11">
    <w:name w:val="Заголовок №1"/>
    <w:basedOn w:val="a"/>
    <w:link w:val="10"/>
    <w:rsid w:val="007D3D7F"/>
    <w:pPr>
      <w:spacing w:after="80"/>
      <w:ind w:firstLine="36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7D3D7F"/>
    <w:pPr>
      <w:spacing w:after="3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2025-06-17T11:23:00Z</dcterms:created>
  <dcterms:modified xsi:type="dcterms:W3CDTF">2025-06-17T11:25:00Z</dcterms:modified>
</cp:coreProperties>
</file>