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Пермском кра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е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продолжается реализация государственной программы по созданию Национальной системы пространственных данных. Одной из задач </w:t>
        <w:br/>
        <w:t xml:space="preserve">которой является обеспечение полного и точного реестра объектов недвижимости. 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Сегодня с начальником Чернушинского межмуниципального отдела </w:t>
      </w:r>
      <w:r>
        <w:rPr>
          <w:rFonts w:ascii="Tinos" w:hAnsi="Tinos" w:eastAsia="Tinos" w:cs="Tinos"/>
          <w:color w:val="auto"/>
          <w:sz w:val="26"/>
          <w:szCs w:val="26"/>
        </w:rPr>
        <w:br/>
        <w:t xml:space="preserve">Управления Ро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срее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стра по Пермскому краю Риммой Загитовной Зариповой мы </w:t>
        <w:br/>
        <w:t xml:space="preserve">поговорим о реализации в Пермском крае одного из эффективных инструментов по внесению актуальных сведений в Единый государственный реестр недвижимости – </w:t>
        <w:br/>
        <w:t xml:space="preserve">комплексных кадастровых работах (далее - ККР).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Такие работы в регионе </w:t>
        <w:br/>
        <w:t xml:space="preserve">проводятся как за счет бюджетных средств, заказчиком здесь являются </w:t>
        <w:br/>
        <w:t xml:space="preserve">муниципалитеты, исполнителями – кадастровые инженеры, которые выиграли </w:t>
        <w:br/>
        <w:t xml:space="preserve">государственные контракты, так и за счет федеральных средств.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0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/>
          <w:color w:val="auto"/>
          <w:sz w:val="26"/>
          <w:szCs w:val="26"/>
        </w:rPr>
        <w:t xml:space="preserve">Римма Загитовна,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 в чем разница между  комплексными кадастровыми работами  и обычными кадастровыми работами?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</w:rPr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КК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Р отличаются от обычных кадастровых работ тем, что выполняются в </w:t>
        <w:br/>
        <w:t xml:space="preserve">отношении не одного, а одновременно всех земельных участков, зданий, </w:t>
        <w:br/>
        <w:t xml:space="preserve">сооружений и объектов незавершенного строительства, расположенных на </w:t>
        <w:br/>
        <w:t xml:space="preserve">территории одного или нескольких смежных кадастров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  <w:highlight w:val="white"/>
        </w:rPr>
        <w:t xml:space="preserve">ых кварталов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6"/>
          <w:szCs w:val="26"/>
        </w:rPr>
        <w:t xml:space="preserve">.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Результаты ККР имеют не менее важное социальное значение: освобождение правообладателей от оплаты кадастровых работ в отношении объектов </w:t>
        <w:br/>
        <w:t xml:space="preserve">недвижимости, а также сокращение количества земельных споров.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С какой периодичностью проводятся ККР на территории Уинского </w:t>
        <w:br/>
        <w:t xml:space="preserve">округа?</w:t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color w:val="auto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С 2023 года комплексные кадастровые работы стартовали с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кадастрового </w:t>
        <w:br/>
        <w:t xml:space="preserve">квартала в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с. Уинское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bCs/>
          <w:color w:val="auto"/>
          <w:sz w:val="26"/>
          <w:szCs w:val="26"/>
        </w:rPr>
        <w:t xml:space="preserve">и проводятся ежегодно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Так, в 2024 году на территории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Уинского муниципального округа </w:t>
        <w:br/>
        <w:t xml:space="preserve">комплексные кадастровые работы проводились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в одном кадастровом квартале с. Уинское, сведения уточнены в отношение 28 объектов недвижимости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В 2025 году такой вид работ на территории округа продолжен в </w:t>
      </w:r>
      <w:r>
        <w:rPr>
          <w:rFonts w:ascii="Tinos" w:hAnsi="Tinos" w:eastAsia="Tinos" w:cs="Tinos"/>
          <w:bCs/>
          <w:color w:val="auto"/>
          <w:sz w:val="26"/>
          <w:szCs w:val="26"/>
          <w:highlight w:val="none"/>
        </w:rPr>
        <w:t xml:space="preserve">5 </w:t>
        <w:br/>
        <w:t xml:space="preserve">кадастровых кварталах с. Уинское.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eastAsia="Tinos" w:cs="Tinos"/>
          <w:color w:val="auto"/>
          <w:sz w:val="26"/>
          <w:szCs w:val="26"/>
        </w:rPr>
        <w:t xml:space="preserve">На сегодня все мероприятия завершены, в Единый государственный реестр недвижимости внесены сведения о 182 объектах недвижимости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Уже сейчас орган местного самоуправления приступил к планированию </w:t>
        <w:br/>
        <w:t xml:space="preserve">комплексных кадастровых работ на 2026,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таких кварталов будет 24.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Могут ли граждане сами стать инициаторами ККР?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Да,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 заказчиком КК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 м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огут быть правообладатели объектов недвижимости или их представители, но необходимо учесть, что  оплата работ будет </w:t>
        <w:br/>
        <w:t xml:space="preserve">производиться из личных средств заказчика. Граждане в отличие от </w:t>
        <w:br/>
        <w:t xml:space="preserve">уполномоченных органов, которые вправе проводить ККР в отношении </w:t>
        <w:br/>
        <w:t xml:space="preserve">кадастр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овых кварталов, могут заказать работы на небольшой территории, к </w:t>
        <w:br/>
        <w:t xml:space="preserve">примеру, в отношении гаражного кооператива, садового товарищества или </w:t>
        <w:br/>
        <w:t xml:space="preserve">коттеджного посёлка.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Прежде чем заказывать ККР за счёт личных средств, гражданам следует </w:t>
        <w:br/>
        <w:t xml:space="preserve">выяснить, не подлежит ли данна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я территория комплексному развитию и не </w:t>
        <w:br/>
        <w:t xml:space="preserve">проводятся ли в отношении её работы, заказчиком которых является </w:t>
        <w:br/>
        <w:t xml:space="preserve">уполномоченный орган. Это поможет гражданам избежать лишних трат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Какие  преимущества ККР для землепользователя?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  <w:highlight w:val="none"/>
        </w:rPr>
        <w:t xml:space="preserve">В ходе ККР проводится большой объем работ, в числе которых 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уточняются границы ранее учтённых земельных участков,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устанавливается или уточняется </w:t>
        <w:br/>
        <w:t xml:space="preserve">местоположение на земельных участках зданий, сооружений, объектов </w:t>
        <w:br/>
        <w:t xml:space="preserve">незавершённого строительства,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образуются новые земельные участки, которые </w:t>
        <w:br/>
        <w:t xml:space="preserve">затем вовлекаются в гражданско-правовой оборот, вносятся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сведений о зданиях, сооружениях и объектах незавершённого строительства, права на которые </w:t>
        <w:br/>
        <w:t xml:space="preserve">зарегистрированы, но сведения о месторасположении на земельном участке </w:t>
        <w:br/>
        <w:t xml:space="preserve">которых отсутствуют,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исправляются ошибки в местоположении границ и площади земельных участков, прошедших кадастровый учёт, а также в местоположении </w:t>
        <w:br/>
        <w:t xml:space="preserve">границ других объектов недвижимос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ти.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Помимо экономии при проведении ККР очевидным преимуществом является проведение согласования границ специально созданной согласительной комиссией, что снимает с собственника бремя согласования смежных границ с соседями в </w:t>
        <w:br/>
        <w:t xml:space="preserve">индивидуальном порядке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76" w:lineRule="auto"/>
        <w:shd w:val="clear" w:color="ffffff" w:themeColor="background1" w:fill="ffffff" w:themeFill="background1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 ходе ККР правообладатель вправе требовать от исполнителя указать на местности местоположение границ земельных участков в соответствии с </w:t>
        <w:br/>
        <w:t xml:space="preserve">подготовленным проектом карты-плана территории. Законодательство обязывает исполнителя сделать это бесплатно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По итогам проведения комплексных кадастровых работ собственник </w:t>
        <w:br/>
        <w:t xml:space="preserve">получает много преимуществ. Установлены ли для него обязанности?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Да, для проведения работ по обмеру объектов собственник участка обязан предоставить доступ кадастровому инженеру на свой участок, при этом проводятся только наружные обмеры участка и зданий, внутрь помещений доступ не требуется. 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Как граждане могут узнать о проведении комплексных кадастровых </w:t>
        <w:br/>
        <w:t xml:space="preserve">работ</w:t>
      </w:r>
      <w:r>
        <w:rPr>
          <w:rFonts w:ascii="Tinos" w:hAnsi="Tinos" w:eastAsia="Tinos" w:cs="Tinos"/>
          <w:b/>
          <w:color w:val="auto"/>
          <w:sz w:val="26"/>
          <w:szCs w:val="26"/>
        </w:rPr>
        <w:t xml:space="preserve">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нформацию о том, где и в какие сроки, кем проводятся кадастровые работы можно ознакомиться на официальных сайтах органов местного самоуправления, Росреестра, регионального министерства по управлению имуществом, в </w:t>
        <w:br/>
        <w:t xml:space="preserve">официальных печатных изданиях.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Кадастровыми инженерами готовятся уведомления собственникам о </w:t>
        <w:br/>
        <w:t xml:space="preserve">проведении комплексных кадастровых работ.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Для получения уведомления гражданам необходимо не только следить за </w:t>
        <w:br/>
        <w:t xml:space="preserve">объявлениями на официальных сайтах муниципальных образований и </w:t>
        <w:br/>
        <w:t xml:space="preserve">информа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ционных стендах, но и внести данные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об адресе электронной почты в </w:t>
        <w:br/>
        <w:t xml:space="preserve">сведения Единого государственного реестра недвижимости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, путем обращения  в любой офис МФЦ или в электронном виде через официальный портал Росреестра подать заявления в личном кабинете. Услуга бесплатная.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По возникающим вопросам можно обратиться в </w:t>
      </w: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eastAsia="Tinos" w:cs="Tinos"/>
          <w:color w:val="auto"/>
          <w:sz w:val="26"/>
          <w:szCs w:val="26"/>
        </w:rPr>
        <w:t xml:space="preserve">Управление имущественных и земельных отношений администрации Уинского муниципального округа </w:t>
        <w:br/>
        <w:t xml:space="preserve">Пермского края по адресу: с. Уинское, ул. Коммунистическая, д. 2, либо связаться по тел. 8 (34259) 2-33-89</w:t>
      </w:r>
      <w:r>
        <w:rPr>
          <w:rFonts w:ascii="Tinos" w:hAnsi="Tinos" w:eastAsia="Tinos" w:cs="Tinos"/>
          <w:color w:val="auto"/>
          <w:sz w:val="26"/>
          <w:szCs w:val="26"/>
        </w:rPr>
        <w:t xml:space="preserve">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Где еще граждане могут проверить, попал ли их участок в комплексные кадастровые работы?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240" w:lineRule="auto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Удобно смотреть на карте портала пространственных данных «Национальная система пространственных данных». Для получения справочной информации </w:t>
        <w:br/>
        <w:t xml:space="preserve">нео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бх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одимо в слое «Иные территории» отжать галочкой «Территории выполнения комплексных кадастровых работ». На карте отобразятся кадастровые кварталы. </w:t>
        <w:br/>
        <w:t xml:space="preserve">Далее выбрать интересующий кадастровый квартал и нажать его карте. В </w:t>
        <w:br/>
        <w:t xml:space="preserve">выделенном объекте выбрать вкладку «Комп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ле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ксные кадастровые работы </w:t>
        <w:br/>
        <w:t xml:space="preserve">выбранного квартала», где можно ознакомится с информацией о договоре на </w:t>
        <w:br/>
        <w:t xml:space="preserve">выполнение работ, сроках, заказчике и исполнителе работ. К ним можно обратиться в случае возникновения вопросов по установлению границ объектов недвижимости.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Как собственник может удостовериться, что пришел кадастровый </w:t>
        <w:br/>
        <w:t xml:space="preserve">инженер, а не мошенник?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Кадастровый инженер по требованию собственника обязан предъявить </w:t>
        <w:br/>
        <w:t xml:space="preserve">документы, которые подтверждают его полномочия. Это заверенная копия </w:t>
        <w:br/>
        <w:t xml:space="preserve">муниципального контракта на выполнение комплексных работ, справка с места </w:t>
        <w:br/>
        <w:t xml:space="preserve">работы и документ, удостоверяющий личность.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  <w:t xml:space="preserve">Обмеры проведены, фактические сведения о границах объектов </w:t>
        <w:br/>
        <w:t xml:space="preserve">недвижимости подготовлены. В каком итоговом документе собственник может это увидеть?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результате работ подготавливается карта-план территории. Этот документ орган местного самоуправления размещает на своем сайте для возможности </w:t>
        <w:br/>
        <w:t xml:space="preserve">ознакомления с ним любых лиц, также он размещается на сайтах Росреестра, </w:t>
        <w:br/>
        <w:t xml:space="preserve">Министерства по управлению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имуществом. Также с документом можно </w:t>
        <w:br/>
        <w:t xml:space="preserve">ознакомиться в местной администрации во время работы согласительной комиссии. Такая комиссия формируется для процедуры согласования границ земельных </w:t>
        <w:br/>
        <w:t xml:space="preserve">участков, для рассмотрения возражений.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Комиссия принимает и рассматривает возражения и несогласия граждан с установленными границами земельных участков. Разъясняет гражданам порядок урегулирования земельных споров. Проводит заседания. Период работы комиссии дос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тат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очно длительный – 15 рабочих дней до даты первого заседания, и 35 </w:t>
        <w:br/>
        <w:t xml:space="preserve">календарных дней после него (два месяца). Извещения о датах проведения </w:t>
        <w:br/>
        <w:t xml:space="preserve">заседания комиссии размещаются на тех же сайтах в интернете, на </w:t>
        <w:br/>
        <w:t xml:space="preserve">информационных щитах, официальных печатных изданиях.</w:t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Возражения, каков порядок их подачи?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Воз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ражение необходимо представлять в согласительную комиссию в </w:t>
        <w:br/>
        <w:t xml:space="preserve">письменном виде. Оно должно содержать ФИО направившего возражение, его </w:t>
        <w:br/>
        <w:t xml:space="preserve">адрес, реквизиты документа, удостоверяющего личность, обоснование причин </w:t>
        <w:br/>
        <w:t xml:space="preserve">несогласия и кадастровый номер уточняемого или об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р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азуемого земельного участка в соответствии с проектом карты-плана территории, в отношении которого имеются возражения. К возражению следует приложить копии документов, </w:t>
        <w:br/>
        <w:t xml:space="preserve">подтверждающих права лица, направившего возражения. Также следует приложить документы,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определяющие местоположение границ при образовании земельного участка, при наличии таких документов. Главное – возражение необходимо </w:t>
        <w:br/>
        <w:t xml:space="preserve">направить в течение 35 календарных дней со дня первого заседания согласительной комиссии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  <w:r>
        <w:rPr>
          <w:rFonts w:ascii="Tinos" w:hAnsi="Tinos" w:cs="Tinos"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А если в процессе проведения ККР не удалось урегулировать </w:t>
        <w:br/>
        <w:t xml:space="preserve">конфликтную ситуацию между соседями по границами земельного участка?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  <w:highlight w:val="none"/>
        </w:rPr>
        <w:t xml:space="preserve">В этом случае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согласительная комиссия даст разъяснения относительно </w:t>
        <w:br/>
        <w:t xml:space="preserve">урегулирования ситуации в суде. Обращение в суд за разрешением земельного </w:t>
        <w:br/>
        <w:t xml:space="preserve">спора не зависит от наличия или отсутствия утверждённого согласительной </w:t>
        <w:br/>
        <w:t xml:space="preserve">комиссией заключения</w:t>
      </w: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  <w:t xml:space="preserve"> А могут ли в ходе ККР уменьшить или увеличить размеры земельного участка, находящегося в собственности?</w:t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При уточнении границ земельного участка его площадь может измениться.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 </w:t>
      </w:r>
      <w:r>
        <w:rPr>
          <w:rFonts w:ascii="Tinos" w:hAnsi="Tinos" w:cs="Tinos"/>
          <w:color w:val="auto"/>
          <w:sz w:val="26"/>
          <w:szCs w:val="26"/>
          <w:highlight w:val="white"/>
        </w:rPr>
      </w:r>
      <w:r>
        <w:rPr>
          <w:rFonts w:ascii="Tinos" w:hAnsi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Законом установлены минимальные и максимальные параметры возможного уменьшения или увеличения площади участка. </w:t>
      </w:r>
      <w:r>
        <w:rPr>
          <w:rFonts w:ascii="Tinos" w:hAnsi="Tinos" w:cs="Tinos"/>
          <w:color w:val="auto"/>
          <w:sz w:val="26"/>
          <w:szCs w:val="26"/>
          <w:highlight w:val="white"/>
        </w:rPr>
      </w:r>
      <w:r>
        <w:rPr>
          <w:rFonts w:ascii="Tinos" w:hAnsi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eastAsia="Tinos" w:cs="Tinos"/>
          <w:color w:val="auto"/>
          <w:sz w:val="26"/>
          <w:szCs w:val="26"/>
          <w:highlight w:val="white"/>
        </w:rPr>
      </w:pP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По общему правилу она может уменьшиться не более чем на 10% по </w:t>
        <w:br/>
        <w:t xml:space="preserve">сравнению с указанной в ЕГРН.</w:t>
      </w:r>
      <w:r>
        <w:rPr>
          <w:rFonts w:ascii="Tinos" w:hAnsi="Tinos" w:eastAsia="Tinos" w:cs="Tinos"/>
          <w:color w:val="auto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Если площадь участка уменьшилась более чем на 10%, с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ведения о нём могут быть включены в карту-план территории только с </w:t>
        <w:br/>
        <w:t xml:space="preserve">письменного согласия правообладателя. Без такого согласия осуществление </w:t>
        <w:br/>
        <w:t xml:space="preserve">государственного кадастрового учета приостанавливается!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 Если  площадь превышает площадь, указанную в ЕГРН, должны быть </w:t>
        <w:br/>
        <w:t xml:space="preserve">соблюдены важные правила: «лишние» метры можно оформить в собственно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сть лишь в том с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лучае, если участок используется в установленных границах более 15 лет, на него нет посягательств со стороны соседей и претензий органа местного </w:t>
        <w:br/>
        <w:t xml:space="preserve">самоуправления. Кроме того, площадь такого «увеличения» не может быть больше предельного минимального размера </w:t>
      </w:r>
      <w:r>
        <w:rPr>
          <w:rFonts w:ascii="Tinos" w:hAnsi="Tinos" w:eastAsia="Tinos" w:cs="Tinos"/>
          <w:color w:val="auto"/>
          <w:sz w:val="26"/>
          <w:szCs w:val="26"/>
          <w:highlight w:val="white"/>
        </w:rPr>
        <w:t xml:space="preserve">участка, установленного местной </w:t>
        <w:br/>
        <w:t xml:space="preserve">администрацией, а в случае если ею такой минимальный размер не уточнён – не более чем на 10% от площади, указанной в ЕГРН.</w:t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ind w:firstLine="708"/>
        <w:jc w:val="both"/>
        <w:spacing w:before="0" w:after="0"/>
        <w:rPr>
          <w:rFonts w:ascii="Tinos" w:hAnsi="Tinos" w:cs="Tinos"/>
          <w:b/>
          <w:bCs/>
          <w:color w:val="auto"/>
          <w:sz w:val="26"/>
          <w:szCs w:val="26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  <w:highlight w:val="none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rFonts w:ascii="Tinos" w:hAnsi="Tinos" w:cs="Tinos"/>
          <w:b/>
          <w:bCs/>
          <w:color w:val="auto"/>
          <w:sz w:val="26"/>
          <w:szCs w:val="26"/>
        </w:rPr>
      </w:r>
    </w:p>
    <w:p>
      <w:pPr>
        <w:pStyle w:val="831"/>
        <w:ind w:firstLine="708"/>
        <w:jc w:val="both"/>
        <w:spacing w:before="0" w:after="0" w:line="360" w:lineRule="exact"/>
        <w:rPr>
          <w:rFonts w:ascii="Tinos" w:hAnsi="Tinos" w:cs="Tinos"/>
          <w:b/>
          <w:color w:val="auto"/>
          <w:sz w:val="26"/>
          <w:szCs w:val="26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В заключении хотела отметить, что в качественных результатах комплексных кадастровых работ заинтересованы все участники.</w:t>
      </w:r>
      <w:r>
        <w:rPr>
          <w:rFonts w:ascii="Tinos" w:hAnsi="Tinos" w:cs="Tinos"/>
          <w:b/>
          <w:color w:val="auto"/>
          <w:sz w:val="26"/>
          <w:szCs w:val="26"/>
        </w:rPr>
      </w:r>
      <w:r>
        <w:rPr>
          <w:rFonts w:ascii="Tinos" w:hAnsi="Tinos" w:cs="Tinos"/>
          <w:b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360" w:lineRule="exact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 итоге будут установлены границы объектов недвижимости, исправлены имеющиес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я реестровые ошибки. Для собственников – это защита государством их прав. Для бизнеса – снижение рисков в реализации инвестиционных проектов. А для органов местного самоуправления – возможность качественного и эффективного планирования развития территории.</w:t>
      </w:r>
      <w:r>
        <w:rPr>
          <w:rFonts w:ascii="Tinos" w:hAnsi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pStyle w:val="831"/>
        <w:ind w:firstLine="709"/>
        <w:jc w:val="both"/>
        <w:spacing w:before="0" w:after="0" w:line="360" w:lineRule="exact"/>
        <w:rPr>
          <w:rFonts w:ascii="Tinos" w:hAnsi="Tinos" w:cs="Tinos"/>
          <w:b w:val="0"/>
          <w:bCs w:val="0"/>
          <w:color w:val="auto"/>
          <w:sz w:val="26"/>
          <w:szCs w:val="26"/>
        </w:rPr>
      </w:pP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Мы призываем владельцев объектов недвижимости обеспе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чить </w:t>
        <w:br/>
        <w:t xml:space="preserve">беспрепя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тс</w:t>
      </w:r>
      <w:r>
        <w:rPr>
          <w:rFonts w:ascii="Tinos" w:hAnsi="Tinos" w:eastAsia="Tinos" w:cs="Tinos"/>
          <w:b w:val="0"/>
          <w:bCs w:val="0"/>
          <w:color w:val="auto"/>
          <w:sz w:val="26"/>
          <w:szCs w:val="26"/>
        </w:rPr>
        <w:t xml:space="preserve">твенный доступ на земельные участки для проведения измерений, </w:t>
        <w:br/>
        <w:t xml:space="preserve">своевременно знакомиться с картой-планом территории.  При несогласии с </w:t>
        <w:br/>
        <w:t xml:space="preserve">установленными границами принимать участие в работе согласительной комиссии. Тогда интересы всех участников будут учтены!</w:t>
      </w:r>
      <w:r>
        <w:rPr>
          <w:rFonts w:ascii="Tinos" w:hAnsi="Tinos" w:cs="Tinos"/>
          <w:b w:val="0"/>
          <w:bCs w:val="0"/>
          <w:color w:val="auto"/>
          <w:sz w:val="26"/>
          <w:szCs w:val="26"/>
        </w:rPr>
      </w:r>
      <w:r>
        <w:rPr>
          <w:rFonts w:ascii="Tinos" w:hAnsi="Tinos" w:cs="Tinos"/>
          <w:b w:val="0"/>
          <w:bCs w:val="0"/>
          <w:color w:val="auto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568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character" w:styleId="687">
    <w:name w:val="Caption Char"/>
    <w:basedOn w:val="838"/>
    <w:link w:val="685"/>
    <w:uiPriority w:val="99"/>
  </w:style>
  <w:style w:type="table" w:styleId="68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Theme="minorEastAsia"/>
      <w:color w:val="auto"/>
      <w:sz w:val="22"/>
      <w:szCs w:val="22"/>
      <w:lang w:val="ru-RU" w:eastAsia="ru-RU" w:bidi="ar-SA"/>
    </w:rPr>
  </w:style>
  <w:style w:type="character" w:styleId="832" w:default="1">
    <w:name w:val="Default Paragraph Font"/>
    <w:uiPriority w:val="1"/>
    <w:unhideWhenUsed/>
    <w:qFormat/>
  </w:style>
  <w:style w:type="character" w:styleId="833">
    <w:name w:val="Hyperlink"/>
    <w:basedOn w:val="832"/>
    <w:uiPriority w:val="99"/>
    <w:semiHidden/>
    <w:unhideWhenUsed/>
    <w:rPr>
      <w:color w:val="0563c1" w:themeColor="hyperlink"/>
      <w:u w:val="single"/>
    </w:rPr>
  </w:style>
  <w:style w:type="character" w:styleId="834" w:customStyle="1">
    <w:name w:val="Текст выноски Знак"/>
    <w:basedOn w:val="832"/>
    <w:link w:val="841"/>
    <w:uiPriority w:val="99"/>
    <w:semiHidden/>
    <w:qFormat/>
    <w:rPr>
      <w:rFonts w:ascii="Segoe UI" w:hAnsi="Segoe UI" w:cs="Segoe UI" w:eastAsiaTheme="minorEastAsia"/>
      <w:sz w:val="18"/>
      <w:szCs w:val="18"/>
      <w:lang w:eastAsia="ru-RU"/>
    </w:rPr>
  </w:style>
  <w:style w:type="paragraph" w:styleId="835">
    <w:name w:val="Заголовок"/>
    <w:basedOn w:val="831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31"/>
    <w:pPr>
      <w:spacing w:before="0"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3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Указатель"/>
    <w:basedOn w:val="831"/>
    <w:qFormat/>
    <w:pPr>
      <w:suppressLineNumbers/>
    </w:pPr>
    <w:rPr>
      <w:rFonts w:ascii="PT Astra Serif" w:hAnsi="PT Astra Serif" w:cs="Noto Sans Devanagari"/>
    </w:rPr>
  </w:style>
  <w:style w:type="paragraph" w:styleId="840">
    <w:name w:val="List Paragraph"/>
    <w:basedOn w:val="831"/>
    <w:uiPriority w:val="34"/>
    <w:qFormat/>
    <w:pPr>
      <w:contextualSpacing/>
      <w:ind w:left="720" w:firstLine="0"/>
      <w:spacing w:before="0" w:after="200"/>
    </w:pPr>
  </w:style>
  <w:style w:type="paragraph" w:styleId="841">
    <w:name w:val="Balloon Text"/>
    <w:basedOn w:val="831"/>
    <w:link w:val="83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842" w:default="1">
    <w:name w:val="No List"/>
    <w:uiPriority w:val="99"/>
    <w:semiHidden/>
    <w:unhideWhenUsed/>
    <w:qFormat/>
  </w:style>
  <w:style w:type="table" w:styleId="84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Ольга Витальевна</dc:creator>
  <dc:description/>
  <dc:language>ru-RU</dc:language>
  <cp:revision>22</cp:revision>
  <dcterms:created xsi:type="dcterms:W3CDTF">2024-10-30T08:07:00Z</dcterms:created>
  <dcterms:modified xsi:type="dcterms:W3CDTF">2025-08-07T14:11:58Z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