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82" w:rsidRDefault="00EF4E82" w:rsidP="00EF4E82">
      <w:pPr>
        <w:pStyle w:val="a3"/>
        <w:spacing w:line="360" w:lineRule="exact"/>
        <w:ind w:firstLine="708"/>
        <w:jc w:val="center"/>
        <w:rPr>
          <w:szCs w:val="28"/>
        </w:rPr>
      </w:pPr>
      <w:r>
        <w:rPr>
          <w:szCs w:val="28"/>
        </w:rPr>
        <w:t>Уважаемые предприниматели!</w:t>
      </w:r>
    </w:p>
    <w:p w:rsidR="00EF4E82" w:rsidRDefault="00EF4E82" w:rsidP="00EF4E82">
      <w:pPr>
        <w:pStyle w:val="a3"/>
        <w:spacing w:line="360" w:lineRule="exact"/>
        <w:ind w:firstLine="708"/>
        <w:jc w:val="both"/>
        <w:rPr>
          <w:szCs w:val="28"/>
        </w:rPr>
      </w:pPr>
    </w:p>
    <w:p w:rsidR="00EF4E82" w:rsidRDefault="00EF4E82" w:rsidP="00EF4E82">
      <w:pPr>
        <w:pStyle w:val="a3"/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F57A24">
        <w:rPr>
          <w:szCs w:val="28"/>
        </w:rPr>
        <w:t xml:space="preserve"> соответствии с абзацем третьим подпункта «б» пункта 3 постановления Правительства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Российской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Федерации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от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30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ноября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2022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г.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№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2173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«Об</w:t>
      </w:r>
      <w:r w:rsidRPr="00F57A24">
        <w:rPr>
          <w:spacing w:val="-8"/>
          <w:szCs w:val="28"/>
        </w:rPr>
        <w:t xml:space="preserve"> </w:t>
      </w:r>
      <w:r w:rsidRPr="00F57A24">
        <w:rPr>
          <w:szCs w:val="28"/>
        </w:rPr>
        <w:t>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</w:t>
      </w:r>
      <w:r w:rsidRPr="00F57A24">
        <w:rPr>
          <w:spacing w:val="63"/>
          <w:szCs w:val="28"/>
        </w:rPr>
        <w:t xml:space="preserve"> </w:t>
      </w:r>
      <w:r w:rsidRPr="00F57A24">
        <w:rPr>
          <w:szCs w:val="28"/>
        </w:rPr>
        <w:t>подлежащих</w:t>
      </w:r>
      <w:r w:rsidRPr="00F57A24">
        <w:rPr>
          <w:spacing w:val="63"/>
          <w:szCs w:val="28"/>
        </w:rPr>
        <w:t xml:space="preserve"> </w:t>
      </w:r>
      <w:r w:rsidRPr="00F57A24">
        <w:rPr>
          <w:szCs w:val="28"/>
        </w:rPr>
        <w:t>обязательной</w:t>
      </w:r>
      <w:r w:rsidRPr="00F57A24">
        <w:rPr>
          <w:spacing w:val="63"/>
          <w:szCs w:val="28"/>
        </w:rPr>
        <w:t xml:space="preserve"> </w:t>
      </w:r>
      <w:r w:rsidRPr="00F57A24">
        <w:rPr>
          <w:szCs w:val="28"/>
        </w:rPr>
        <w:t>маркировке</w:t>
      </w:r>
      <w:r w:rsidRPr="00F57A24">
        <w:rPr>
          <w:spacing w:val="63"/>
          <w:szCs w:val="28"/>
        </w:rPr>
        <w:t xml:space="preserve"> </w:t>
      </w:r>
      <w:r w:rsidRPr="00F57A24">
        <w:rPr>
          <w:szCs w:val="28"/>
        </w:rPr>
        <w:t>средствами</w:t>
      </w:r>
      <w:r w:rsidRPr="00F57A24">
        <w:rPr>
          <w:spacing w:val="63"/>
          <w:szCs w:val="28"/>
        </w:rPr>
        <w:t xml:space="preserve">  </w:t>
      </w:r>
      <w:r w:rsidRPr="00F57A24">
        <w:rPr>
          <w:szCs w:val="28"/>
        </w:rPr>
        <w:t>идентификации, в отношении пива, напитков, изготавливаемых на основе пива, и отдельных видов слабоалкогольных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напитков»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1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сентября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2025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г.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для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участников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оборота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пива,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напитков,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изготавливаемых на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основе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пива,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и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отдельных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видов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слабоалкогольных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напитков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(далее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–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пиво и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слабоалкогольные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напитки)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вступают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в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силу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требования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о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представлении</w:t>
      </w:r>
      <w:r w:rsidRPr="00F57A24">
        <w:rPr>
          <w:spacing w:val="80"/>
          <w:szCs w:val="28"/>
        </w:rPr>
        <w:t xml:space="preserve"> </w:t>
      </w:r>
      <w:r w:rsidRPr="00F57A24">
        <w:rPr>
          <w:szCs w:val="28"/>
        </w:rPr>
        <w:t>в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информационную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систему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маркировки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сведений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об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обороте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пива и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слабоалкогольных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напитков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в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потребительской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упаковке,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произведенных</w:t>
      </w:r>
      <w:r w:rsidRPr="00F57A24">
        <w:rPr>
          <w:spacing w:val="40"/>
          <w:szCs w:val="28"/>
        </w:rPr>
        <w:t xml:space="preserve"> </w:t>
      </w:r>
      <w:r w:rsidRPr="00F57A24">
        <w:rPr>
          <w:szCs w:val="28"/>
        </w:rPr>
        <w:t>или ввозимых (ввезенных) в российскую федерацию с указанной даты, включая сведения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об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их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перемещении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между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собственными</w:t>
      </w:r>
      <w:r w:rsidRPr="00F57A24">
        <w:rPr>
          <w:spacing w:val="80"/>
          <w:w w:val="150"/>
          <w:szCs w:val="28"/>
        </w:rPr>
        <w:t xml:space="preserve"> </w:t>
      </w:r>
      <w:r w:rsidRPr="00F57A24">
        <w:rPr>
          <w:szCs w:val="28"/>
        </w:rPr>
        <w:t>структурными</w:t>
      </w:r>
      <w:r w:rsidRPr="00F57A24">
        <w:rPr>
          <w:spacing w:val="40"/>
          <w:szCs w:val="28"/>
        </w:rPr>
        <w:t xml:space="preserve"> </w:t>
      </w:r>
      <w:r w:rsidRPr="00F57A24">
        <w:rPr>
          <w:szCs w:val="28"/>
        </w:rPr>
        <w:t>или обособленными подразделениями (далее – требования).</w:t>
      </w:r>
    </w:p>
    <w:p w:rsidR="00EF4E82" w:rsidRPr="00F57A24" w:rsidRDefault="00EF4E82" w:rsidP="00EF4E82">
      <w:pPr>
        <w:pStyle w:val="a3"/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 связи с изложенным, напоминаем об исполнении обязательных требований, установленных постановлением № 2173.</w:t>
      </w:r>
      <w:bookmarkStart w:id="0" w:name="_GoBack"/>
      <w:bookmarkEnd w:id="0"/>
      <w:r>
        <w:rPr>
          <w:szCs w:val="28"/>
        </w:rPr>
        <w:t xml:space="preserve"> </w:t>
      </w:r>
    </w:p>
    <w:p w:rsidR="00FF2344" w:rsidRDefault="00FF2344"/>
    <w:sectPr w:rsidR="00FF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6"/>
    <w:rsid w:val="00573986"/>
    <w:rsid w:val="00EF4E8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6F2D"/>
  <w15:chartTrackingRefBased/>
  <w15:docId w15:val="{EAE2DB8B-EE62-424D-B596-9EE0C47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4E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2025-10-29T07:00:00Z</dcterms:created>
  <dcterms:modified xsi:type="dcterms:W3CDTF">2025-10-29T07:04:00Z</dcterms:modified>
</cp:coreProperties>
</file>