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8F" w:rsidRDefault="00AD5F8F" w:rsidP="00AD5F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B9B8B9E" wp14:editId="3947E592">
            <wp:extent cx="2279015" cy="4572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F8F" w:rsidRDefault="00AD5F8F" w:rsidP="00AD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8F" w:rsidRDefault="00AD5F8F" w:rsidP="00AD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краевом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рассказали об охранных зонах особо охраняемых природных территорий</w:t>
      </w:r>
    </w:p>
    <w:p w:rsidR="00AD5F8F" w:rsidRDefault="00AD5F8F" w:rsidP="00AD5F8F">
      <w:pPr>
        <w:tabs>
          <w:tab w:val="left" w:pos="51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Земельному кодексу Российской Федерации охранные</w:t>
      </w:r>
      <w:r>
        <w:t xml:space="preserve"> </w:t>
      </w:r>
      <w:r>
        <w:rPr>
          <w:rFonts w:ascii="Times New Roman" w:hAnsi="Times New Roman"/>
          <w:sz w:val="28"/>
        </w:rPr>
        <w:t xml:space="preserve">зоны особо охраняемых природных территорий (ООПТ) входят в перечень зон с особыми условиями использования территорий (ЗОУИТ). Такие зоны создаются с целью </w:t>
      </w:r>
      <w:r>
        <w:rPr>
          <w:rFonts w:ascii="Times New Roman" w:hAnsi="Times New Roman" w:cs="Times New Roman"/>
          <w:sz w:val="28"/>
          <w:szCs w:val="28"/>
        </w:rPr>
        <w:t>защиты государственных природных заповедников, национальных и природных парков, заказников, а также памятников природы.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Земельные участки, находящиеся в охранной зоне ООПТ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имеют ряд ограничений на их использование. Ведение хозяйственной деятельности в пределах таких зон устанавливается положением об охранной зоне конкретного государственного памятника природы, заповедника и прочих. 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несмотря на индивидуальные особенности каждого конкретного памятника природы, в границах охранных зон запрещается любая деятельность, которая может оказать на них негативное воздействие. Например, строительство новых зданий без специального разрешения, вырубка леса, добыча полезных ископаемых, любые виды охоты и рыболовства. Все эти действия могут привести к необратимым последствиям.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i/>
          <w:sz w:val="28"/>
        </w:rPr>
        <w:t>Сведения об установлении охранных зон особо охраняемых природных территорий вносятся в Единый государственный реестр недвижимости (ЕГРН).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Так, по состоянию на 1 декабря текущего года в реестр внесены 24 охранные зоны особо охраняемых природных территорий Пермского края.</w:t>
      </w:r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После внесения в ЕГРН данных сведений и изменений в них орган регистрации прав уведомляет правообладателей земельных участков и иных объектов недвижимого имущества, полностью или частично расположенных в границах данных зон, в электронной форме через единый портал государственных и муниципальных услуг (</w:t>
      </w:r>
      <w:proofErr w:type="spellStart"/>
      <w:r>
        <w:rPr>
          <w:rFonts w:ascii="Times New Roman" w:hAnsi="Times New Roman"/>
          <w:i/>
          <w:sz w:val="28"/>
        </w:rPr>
        <w:t>Госуслуги</w:t>
      </w:r>
      <w:proofErr w:type="spellEnd"/>
      <w:r>
        <w:rPr>
          <w:rFonts w:ascii="Times New Roman" w:hAnsi="Times New Roman"/>
          <w:i/>
          <w:sz w:val="28"/>
        </w:rPr>
        <w:t xml:space="preserve">)», </w:t>
      </w:r>
      <w:r>
        <w:rPr>
          <w:rFonts w:ascii="Times New Roman" w:eastAsia="PT Astra Serif" w:hAnsi="Times New Roman" w:cs="PT Astra Serif"/>
          <w:i/>
          <w:sz w:val="28"/>
        </w:rPr>
        <w:t>–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поясняет начальник отдела ведения реестра границ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>» по Пермскому краю</w:t>
      </w:r>
      <w:r>
        <w:rPr>
          <w:rFonts w:ascii="Times New Roman" w:hAnsi="Times New Roman"/>
          <w:b/>
          <w:sz w:val="28"/>
        </w:rPr>
        <w:t xml:space="preserve"> Алексей </w:t>
      </w:r>
      <w:proofErr w:type="spellStart"/>
      <w:r>
        <w:rPr>
          <w:rFonts w:ascii="Times New Roman" w:hAnsi="Times New Roman"/>
          <w:b/>
          <w:sz w:val="28"/>
        </w:rPr>
        <w:t>Корепанов</w:t>
      </w:r>
      <w:proofErr w:type="spellEnd"/>
      <w:r>
        <w:rPr>
          <w:rFonts w:ascii="Times New Roman" w:hAnsi="Times New Roman"/>
          <w:b/>
          <w:sz w:val="28"/>
        </w:rPr>
        <w:t>.</w:t>
      </w:r>
      <w:proofErr w:type="gramEnd"/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уточнить информацию о наличии ограничений на земельном участке, можно запросить сведения из ЕГРН в виде выписки об объекте недвижимости. В указанной выписке отразятся сведения о попадании земельного участка или его частей в границы различных охранных зон, в том числе охранных </w:t>
      </w:r>
      <w:r>
        <w:rPr>
          <w:rFonts w:ascii="Times New Roman" w:hAnsi="Times New Roman"/>
          <w:sz w:val="28"/>
        </w:rPr>
        <w:t>зон особо охраняемых природных территорий.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Воспользоваться услугой по предоставлению сведений из ЕГРН можно в электронном виде, подав запрос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 личном кабинете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http://rosreestr.gov.ru/ в разделе «Услуги и сервисы». На бумажном носителе </w:t>
      </w:r>
      <w:r>
        <w:rPr>
          <w:rFonts w:ascii="Times New Roman" w:eastAsia="PT Astra Serif" w:hAnsi="Times New Roman" w:cs="PT Astra Serif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любом офисе МФЦ вне зависимости от месторасположения объекта недвижимости.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в настоящее время на Единой цифровой платформе «Национальная система пространственных данных» https://nspd.gov.ru/ (НСПД) реализована карта НСПД, представляющая возможность выбора тематического набора слоев, предусматривающих воспроизведение границ охранных зон </w:t>
      </w:r>
      <w:r>
        <w:rPr>
          <w:rFonts w:ascii="Times New Roman" w:hAnsi="Times New Roman"/>
          <w:sz w:val="28"/>
        </w:rPr>
        <w:t>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поиска и просмотра необходимо перейти с главной страницы портала НСПД в раздел «Публичная кадастровая карта», далее в строке «Поиск объекта недвижимости» ввести кадастровый номер объекта. Во вкладке «Все слои» выбрать раздел «Зоны с особыми условиями использования территории», посл</w:t>
      </w:r>
      <w:r w:rsidR="00073976">
        <w:rPr>
          <w:rFonts w:ascii="Times New Roman" w:hAnsi="Times New Roman" w:cs="Times New Roman"/>
          <w:sz w:val="28"/>
          <w:szCs w:val="28"/>
        </w:rPr>
        <w:t xml:space="preserve">е - отжать галочку необходимой </w:t>
      </w:r>
      <w:r>
        <w:rPr>
          <w:rFonts w:ascii="Times New Roman" w:hAnsi="Times New Roman" w:cs="Times New Roman"/>
          <w:sz w:val="28"/>
          <w:szCs w:val="28"/>
        </w:rPr>
        <w:t>ЗОУИТ.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8F" w:rsidRDefault="00AD5F8F" w:rsidP="00AD5F8F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Законодательство по теме</w:t>
      </w:r>
      <w:r>
        <w:rPr>
          <w:rFonts w:ascii="Times New Roman" w:hAnsi="Times New Roman"/>
          <w:sz w:val="28"/>
        </w:rPr>
        <w:t xml:space="preserve">: </w:t>
      </w:r>
    </w:p>
    <w:p w:rsidR="00AD5F8F" w:rsidRDefault="00AD5F8F" w:rsidP="00AD5F8F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:rsidR="00AD5F8F" w:rsidRDefault="00AD5F8F" w:rsidP="00AD5F8F">
      <w:pPr>
        <w:pStyle w:val="a4"/>
        <w:spacing w:line="276" w:lineRule="auto"/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>
        <w:rPr>
          <w:rFonts w:ascii="Times New Roman" w:eastAsiaTheme="minorEastAsia" w:hAnsi="Times New Roman"/>
          <w:color w:val="auto"/>
          <w:sz w:val="28"/>
          <w:szCs w:val="28"/>
        </w:rPr>
        <w:t>Постановление Правительства РФ от 19.02.2015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зон»;</w:t>
      </w:r>
    </w:p>
    <w:p w:rsidR="00AD5F8F" w:rsidRDefault="00AD5F8F" w:rsidP="00AD5F8F">
      <w:pPr>
        <w:pStyle w:val="a4"/>
        <w:spacing w:line="276" w:lineRule="auto"/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>
        <w:rPr>
          <w:rFonts w:ascii="Times New Roman" w:eastAsiaTheme="minorEastAsia" w:hAnsi="Times New Roman"/>
          <w:color w:val="auto"/>
          <w:sz w:val="28"/>
          <w:szCs w:val="28"/>
        </w:rPr>
        <w:t>Земельный кодекс Российской Федерации от 25.10.2001 № 136-ФЗ;</w:t>
      </w: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13.07.2015 № 218-ФЗ «О государственной регистрации недвижимости».</w:t>
      </w:r>
    </w:p>
    <w:p w:rsidR="00AD5F8F" w:rsidRDefault="00AD5F8F" w:rsidP="00AD5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8F" w:rsidRDefault="00AD5F8F" w:rsidP="00AD5F8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9525" distB="9525" distL="9525" distR="9525" simplePos="0" relativeHeight="251659264" behindDoc="0" locked="0" layoutInCell="0" allowOverlap="1" wp14:anchorId="1782C1C1" wp14:editId="0E4FD04C">
                <wp:simplePos x="0" y="0"/>
                <wp:positionH relativeFrom="page">
                  <wp:posOffset>1127760</wp:posOffset>
                </wp:positionH>
                <wp:positionV relativeFrom="paragraph">
                  <wp:posOffset>19685</wp:posOffset>
                </wp:positionV>
                <wp:extent cx="5934075" cy="635"/>
                <wp:effectExtent l="9525" t="9525" r="9525" b="9525"/>
                <wp:wrapNone/>
                <wp:docPr id="2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3" o:spid="_x0000_s1026" style="position:absolute;z-index:251659264;visibility:visible;mso-wrap-style:square;mso-wrap-distance-left:.75pt;mso-wrap-distance-top:.75pt;mso-wrap-distance-right:.75pt;mso-wrap-distance-bottom:.75pt;mso-position-horizontal:absolute;mso-position-horizontal-relative:page;mso-position-vertical:absolute;mso-position-vertical-relative:text" from="88.8pt,1.55pt" to="556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" o:allowincell="f" strokecolor="#5b9bd5" strokeweight=".53mm">
                <w10:wrap anchorx="page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9525" distB="9525" distL="9525" distR="9525" simplePos="0" relativeHeight="251660288" behindDoc="0" locked="0" layoutInCell="1" allowOverlap="1" wp14:anchorId="26F6BC84" wp14:editId="62AAE3AD">
                <wp:simplePos x="0" y="0"/>
                <wp:positionH relativeFrom="column">
                  <wp:posOffset>766445</wp:posOffset>
                </wp:positionH>
                <wp:positionV relativeFrom="paragraph">
                  <wp:posOffset>3417570</wp:posOffset>
                </wp:positionV>
                <wp:extent cx="4034790" cy="635"/>
                <wp:effectExtent l="9525" t="9525" r="9525" b="9525"/>
                <wp:wrapNone/>
                <wp:docPr id="3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488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4" o:spid="_x0000_s1026" style="position:absolute;z-index:251660288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60.35pt,269.1pt" to="378.05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" strokecolor="#5b9bd5" strokeweight=".53mm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9525" distB="9525" distL="9525" distR="9525" simplePos="0" relativeHeight="251661312" behindDoc="0" locked="0" layoutInCell="1" allowOverlap="1" wp14:anchorId="50ED47E0" wp14:editId="39EB4906">
                <wp:simplePos x="0" y="0"/>
                <wp:positionH relativeFrom="column">
                  <wp:posOffset>766445</wp:posOffset>
                </wp:positionH>
                <wp:positionV relativeFrom="paragraph">
                  <wp:posOffset>3417570</wp:posOffset>
                </wp:positionV>
                <wp:extent cx="4034790" cy="635"/>
                <wp:effectExtent l="9525" t="9525" r="9525" b="9525"/>
                <wp:wrapNone/>
                <wp:docPr id="4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488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5" o:spid="_x0000_s1026" style="position:absolute;z-index:251661312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60.35pt,269.1pt" to="378.05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" strokecolor="#5b9bd5" strokeweight=".53mm"/>
            </w:pict>
          </mc:Fallback>
        </mc:AlternateContent>
      </w:r>
    </w:p>
    <w:p w:rsidR="00AD5F8F" w:rsidRDefault="00AD5F8F" w:rsidP="00AD5F8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Контакты для СМИ</w:t>
      </w:r>
    </w:p>
    <w:p w:rsidR="00AD5F8F" w:rsidRDefault="00AD5F8F" w:rsidP="00AD5F8F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уважением,</w:t>
      </w:r>
    </w:p>
    <w:p w:rsidR="00AD5F8F" w:rsidRDefault="00AD5F8F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Пресс-служба филиала</w:t>
      </w:r>
    </w:p>
    <w:p w:rsidR="00AD5F8F" w:rsidRDefault="00AD5F8F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ППК «</w:t>
      </w:r>
      <w:proofErr w:type="spellStart"/>
      <w:r>
        <w:rPr>
          <w:rFonts w:ascii="Times New Roman" w:hAnsi="Times New Roman"/>
          <w:sz w:val="20"/>
        </w:rPr>
        <w:t>Роскадастр</w:t>
      </w:r>
      <w:proofErr w:type="spellEnd"/>
      <w:r>
        <w:rPr>
          <w:rFonts w:ascii="Times New Roman" w:hAnsi="Times New Roman"/>
          <w:sz w:val="20"/>
        </w:rPr>
        <w:t>»</w:t>
      </w:r>
    </w:p>
    <w:p w:rsidR="00AD5F8F" w:rsidRDefault="00AD5F8F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Пермскому краю</w:t>
      </w:r>
    </w:p>
    <w:p w:rsidR="00AD5F8F" w:rsidRDefault="005C7FAC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US"/>
        </w:rPr>
        <w:t>www.</w:t>
      </w:r>
      <w:r w:rsidR="00AD5F8F">
        <w:rPr>
          <w:rFonts w:ascii="Times New Roman" w:hAnsi="Times New Roman"/>
          <w:sz w:val="20"/>
        </w:rPr>
        <w:t>kadastr.ru</w:t>
      </w:r>
    </w:p>
    <w:p w:rsidR="00AD5F8F" w:rsidRDefault="00AD5F8F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press@59.kadastr.ru</w:t>
      </w:r>
    </w:p>
    <w:p w:rsidR="00AD5F8F" w:rsidRDefault="00AD5F8F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vk.com/kadastr159</w:t>
      </w:r>
    </w:p>
    <w:p w:rsidR="005C7FAC" w:rsidRDefault="005C7FAC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hyperlink r:id="rId6" w:history="1">
        <w:r w:rsidRPr="005C7FAC">
          <w:rPr>
            <w:rFonts w:ascii="Times New Roman" w:hAnsi="Times New Roman"/>
            <w:sz w:val="20"/>
          </w:rPr>
          <w:t>https://ok.ru/kadastr159</w:t>
        </w:r>
      </w:hyperlink>
    </w:p>
    <w:p w:rsidR="005C7FAC" w:rsidRDefault="005C7FAC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 w:rsidRPr="005C7FAC">
        <w:rPr>
          <w:rFonts w:ascii="Times New Roman" w:hAnsi="Times New Roman"/>
          <w:sz w:val="20"/>
        </w:rPr>
        <w:t>https://t.me/kadastr59</w:t>
      </w:r>
    </w:p>
    <w:p w:rsidR="00AD5F8F" w:rsidRDefault="00AD5F8F" w:rsidP="00AD5F8F">
      <w:pPr>
        <w:pStyle w:val="a6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+ 7 (342) 201-71-14 (2085)</w:t>
      </w:r>
      <w:bookmarkStart w:id="0" w:name="_GoBack"/>
      <w:bookmarkEnd w:id="0"/>
    </w:p>
    <w:p w:rsidR="00073976" w:rsidRDefault="00073976"/>
    <w:sectPr w:rsidR="0007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43"/>
    <w:rsid w:val="00073976"/>
    <w:rsid w:val="000F3643"/>
    <w:rsid w:val="00291FF4"/>
    <w:rsid w:val="004970AE"/>
    <w:rsid w:val="00543AC9"/>
    <w:rsid w:val="005C7FAC"/>
    <w:rsid w:val="009545CA"/>
    <w:rsid w:val="00AD5F8F"/>
    <w:rsid w:val="00A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8F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rsid w:val="00AD5F8F"/>
    <w:rPr>
      <w:rFonts w:eastAsia="Times New Roman" w:cs="Times New Roman"/>
      <w:color w:val="000000"/>
      <w:szCs w:val="20"/>
    </w:rPr>
  </w:style>
  <w:style w:type="character" w:customStyle="1" w:styleId="a5">
    <w:name w:val="Основной текст Знак"/>
    <w:basedOn w:val="a0"/>
    <w:link w:val="a6"/>
    <w:qFormat/>
    <w:rsid w:val="00AD5F8F"/>
    <w:rPr>
      <w:rFonts w:eastAsia="Times New Roman" w:cs="Times New Roman"/>
      <w:color w:val="000000"/>
      <w:szCs w:val="20"/>
    </w:rPr>
  </w:style>
  <w:style w:type="paragraph" w:styleId="a6">
    <w:name w:val="Body Text"/>
    <w:basedOn w:val="a"/>
    <w:link w:val="a5"/>
    <w:rsid w:val="00AD5F8F"/>
    <w:pPr>
      <w:spacing w:after="140"/>
    </w:pPr>
    <w:rPr>
      <w:rFonts w:eastAsia="Times New Roman" w:cs="Times New Roman"/>
      <w:color w:val="00000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D5F8F"/>
    <w:rPr>
      <w:rFonts w:eastAsiaTheme="minorEastAsia"/>
      <w:lang w:eastAsia="ru-RU"/>
    </w:rPr>
  </w:style>
  <w:style w:type="paragraph" w:styleId="a4">
    <w:name w:val="No Spacing"/>
    <w:link w:val="a3"/>
    <w:qFormat/>
    <w:rsid w:val="00AD5F8F"/>
    <w:pPr>
      <w:suppressAutoHyphens/>
      <w:spacing w:after="0" w:line="240" w:lineRule="auto"/>
    </w:pPr>
    <w:rPr>
      <w:rFonts w:eastAsia="Times New Roman" w:cs="Times New Roman"/>
      <w:color w:val="00000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F8F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5C7F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8F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rsid w:val="00AD5F8F"/>
    <w:rPr>
      <w:rFonts w:eastAsia="Times New Roman" w:cs="Times New Roman"/>
      <w:color w:val="000000"/>
      <w:szCs w:val="20"/>
    </w:rPr>
  </w:style>
  <w:style w:type="character" w:customStyle="1" w:styleId="a5">
    <w:name w:val="Основной текст Знак"/>
    <w:basedOn w:val="a0"/>
    <w:link w:val="a6"/>
    <w:qFormat/>
    <w:rsid w:val="00AD5F8F"/>
    <w:rPr>
      <w:rFonts w:eastAsia="Times New Roman" w:cs="Times New Roman"/>
      <w:color w:val="000000"/>
      <w:szCs w:val="20"/>
    </w:rPr>
  </w:style>
  <w:style w:type="paragraph" w:styleId="a6">
    <w:name w:val="Body Text"/>
    <w:basedOn w:val="a"/>
    <w:link w:val="a5"/>
    <w:rsid w:val="00AD5F8F"/>
    <w:pPr>
      <w:spacing w:after="140"/>
    </w:pPr>
    <w:rPr>
      <w:rFonts w:eastAsia="Times New Roman" w:cs="Times New Roman"/>
      <w:color w:val="00000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D5F8F"/>
    <w:rPr>
      <w:rFonts w:eastAsiaTheme="minorEastAsia"/>
      <w:lang w:eastAsia="ru-RU"/>
    </w:rPr>
  </w:style>
  <w:style w:type="paragraph" w:styleId="a4">
    <w:name w:val="No Spacing"/>
    <w:link w:val="a3"/>
    <w:qFormat/>
    <w:rsid w:val="00AD5F8F"/>
    <w:pPr>
      <w:suppressAutoHyphens/>
      <w:spacing w:after="0" w:line="240" w:lineRule="auto"/>
    </w:pPr>
    <w:rPr>
      <w:rFonts w:eastAsia="Times New Roman" w:cs="Times New Roman"/>
      <w:color w:val="00000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F8F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5C7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kadastr1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Чубукова Александра Сергеевна</dc:creator>
  <cp:keywords/>
  <dc:description/>
  <cp:lastModifiedBy>Чубукова Александра Сергеевна</cp:lastModifiedBy>
  <cp:revision>4</cp:revision>
  <dcterms:created xsi:type="dcterms:W3CDTF">2025-12-12T05:50:00Z</dcterms:created>
  <dcterms:modified xsi:type="dcterms:W3CDTF">2025-12-16T04:08:00Z</dcterms:modified>
</cp:coreProperties>
</file>