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1134"/>
        <w:keepNext/>
        <w:spacing w:before="240" w:after="60"/>
        <w:rPr>
          <w:rFonts w:ascii="Times New Roman" w:hAnsi="Times New Roman" w:eastAsia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52750" cy="1035394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83888" cy="1046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2.50pt;height:81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160" w:line="252" w:lineRule="auto"/>
        <w:rPr>
          <w:rFonts w:ascii="Segoe UI" w:hAnsi="Segoe UI" w:eastAsia="Segoe UI" w:cs="Segoe UI"/>
          <w:b/>
          <w:sz w:val="32"/>
        </w:rPr>
      </w:pPr>
      <w:r>
        <w:rPr>
          <w:rFonts w:ascii="Segoe UI" w:hAnsi="Segoe UI" w:eastAsia="Segoe UI" w:cs="Segoe UI"/>
          <w:b/>
          <w:sz w:val="32"/>
        </w:rPr>
        <w:t xml:space="preserve">ПРЕСС-РЕЛИЗ</w:t>
      </w:r>
      <w:r>
        <w:rPr>
          <w:rFonts w:ascii="Segoe UI" w:hAnsi="Segoe UI" w:eastAsia="Segoe UI" w:cs="Segoe UI"/>
          <w:b/>
          <w:sz w:val="32"/>
        </w:rPr>
      </w:r>
      <w:r>
        <w:rPr>
          <w:rFonts w:ascii="Segoe UI" w:hAnsi="Segoe UI" w:eastAsia="Segoe UI" w:cs="Segoe UI"/>
          <w:b/>
          <w:sz w:val="32"/>
        </w:rPr>
      </w:r>
    </w:p>
    <w:p>
      <w:pPr>
        <w:ind w:firstLine="709"/>
        <w:jc w:val="both"/>
        <w:spacing w:line="240" w:lineRule="auto"/>
        <w:rPr>
          <w:rFonts w:ascii="Segoe UI" w:hAnsi="Segoe UI" w:cs="Segoe UI"/>
          <w:sz w:val="28"/>
          <w:szCs w:val="28"/>
          <w:highlight w:val="none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jc w:val="center"/>
        <w:spacing w:after="0" w:line="312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Росреестр рассказал о способах проверки границ земельного участка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both"/>
        <w:spacing w:after="0" w:line="312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  <w:highlight w:val="none"/>
        </w:rPr>
      </w:r>
      <w:r>
        <w:rPr>
          <w:rFonts w:ascii="Segoe UI" w:hAnsi="Segoe UI" w:cs="Segoe UI"/>
          <w:b/>
          <w:sz w:val="28"/>
          <w:szCs w:val="28"/>
          <w:highlight w:val="none"/>
        </w:rPr>
        <w:t xml:space="preserve">С 1 марта 2025 года в России действуют новые правила регистрации недвижимости: земельные участки, границы которых не определены в соответствии с действующим законодательством, больше не могут становиться предметом сделок. А значит, и постройки на них нельзя</w:t>
      </w:r>
      <w:r>
        <w:rPr>
          <w:rFonts w:ascii="Segoe UI" w:hAnsi="Segoe UI" w:cs="Segoe UI"/>
          <w:b/>
          <w:sz w:val="28"/>
          <w:szCs w:val="28"/>
          <w:highlight w:val="none"/>
        </w:rPr>
        <w:t xml:space="preserve"> подарить или продать, а также оформить на них право собственности. Отсутствие точных границ земельного участка часто является </w:t>
      </w:r>
      <w:r>
        <w:rPr>
          <w:rFonts w:ascii="Segoe UI" w:hAnsi="Segoe UI" w:cs="Segoe UI"/>
          <w:b/>
          <w:bCs/>
          <w:sz w:val="28"/>
          <w:szCs w:val="28"/>
        </w:rPr>
        <w:t xml:space="preserve">причиной земельных споров между смежными землепользователями.</w:t>
      </w:r>
      <w:r>
        <w:rPr>
          <w:rFonts w:ascii="Segoe UI" w:hAnsi="Segoe UI" w:cs="Segoe UI"/>
          <w:b w:val="0"/>
          <w:bCs w:val="0"/>
          <w:sz w:val="28"/>
          <w:szCs w:val="28"/>
        </w:rPr>
      </w:r>
    </w:p>
    <w:p>
      <w:pPr>
        <w:ind w:firstLine="708"/>
        <w:jc w:val="both"/>
        <w:spacing w:after="0" w:line="312" w:lineRule="auto"/>
        <w:rPr>
          <w:rFonts w:ascii="Segoe UI" w:hAnsi="Segoe UI" w:cs="Segoe UI"/>
          <w:b w:val="0"/>
          <w:bCs w:val="0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  <w:t xml:space="preserve">Чернушинский отдел Управления Росреестра по Пермскому краю предлагает два простых способа  для проверки установления точных границ земельного участка:</w:t>
      </w:r>
      <w:r>
        <w:rPr>
          <w:rFonts w:ascii="Segoe UI" w:hAnsi="Segoe UI" w:cs="Segoe UI"/>
          <w:b w:val="0"/>
          <w:bCs w:val="0"/>
          <w:sz w:val="28"/>
          <w:szCs w:val="28"/>
        </w:rPr>
      </w:r>
      <w:r/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–  с помощью Публичной кадастровой карты на Единой цифровой платформе «Национальная система пространственных данных» (НСПД);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– путем запроса выписки из Единого государственного реестра недвижимости (ЕГРН) на земельный участок.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Первый способ.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Необходимо открыть Публичную кадастровую карту на портале НСПД по адресу https://nspd.gov.ru. Сервисы НСПД доступны всем пользователям без необходимости авторизации и без взимания платы.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В поисковой строке карты, расположенной в левом верхнем углу, следует ввести кадастровый номер земельного участка.  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Если границы интересующего земельного участка установлены, т.е. проведено межевание участка и границы внесены в ЕГРН, то на карте отобразится местоположение земельного участка в виде геометрической фигуры, выделенной определенным цветом. 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Контур земельного участка будет отсутствовать, если границы земельного участка не определены и в параметрах информации об объекте будет указано: «Без координат границ». 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Второй способ.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Выписку из ЕГРН об объекте недвижимости или об основных характеристиках и зарегистрированных правах на объект недвижимости можно запросить в электронном виде с помощью личного кабинета сайта Росреестра по адресу https://lk.rosreestr.ru, на порт</w:t>
      </w:r>
      <w:r>
        <w:rPr>
          <w:rFonts w:ascii="Segoe UI" w:hAnsi="Segoe UI" w:cs="Segoe UI"/>
          <w:sz w:val="28"/>
          <w:szCs w:val="28"/>
        </w:rPr>
        <w:t xml:space="preserve">але Госуслуги в разделе Услуги - Земля/Дом либо путем личного обращения в любой офис МФЦ. 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В основных характеристиках выписки из ЕГРН необходимо обратить внимание на следующую информацию: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1.  При отсутствии границ в графе «Особые отметки» будет содержаться запись «границы земельного участка не установлены в соответствии с действующим законодательством».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2. При установленных границах в графе «Площадь» будет отражена погрешность «+/-», приложен план земельного участка.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b/>
          <w:bCs/>
          <w:sz w:val="28"/>
          <w:szCs w:val="28"/>
        </w:rPr>
        <w:t xml:space="preserve">Важно:</w:t>
      </w:r>
      <w:r>
        <w:rPr>
          <w:rFonts w:ascii="Segoe UI" w:hAnsi="Segoe UI" w:cs="Segoe UI"/>
          <w:sz w:val="28"/>
          <w:szCs w:val="28"/>
        </w:rPr>
        <w:t xml:space="preserve"> при отсутствии установленных границ собственнику участка необходимо обратиться к кадастровому инженеру для проведения замеров и подготовки межевого плана.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С информацией о кадастровых инженерах можно ознакомиться на официальном сайте Росреестра https://rosreestr.gov.ru в разделе «Услуги и сервисы – Сервисы – Реестр кадастровых инженеров».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После завершения межевания владельцу земельного участка нужно подать заявление в Росреестр для учета изменений в сведениях ЕГРН, приложив межевой план.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Заявление подаётся онлайн в личном кабинете на сайте Росреестра: https://lk.rosreestr.ru/ или в любом офисе МФЦ.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</w:pPr>
      <w:r>
        <w:rPr>
          <w:rFonts w:ascii="Segoe UI" w:hAnsi="Segoe UI" w:cs="Segoe UI"/>
          <w:sz w:val="28"/>
          <w:szCs w:val="28"/>
        </w:rPr>
        <w:t xml:space="preserve">Заявление о кадастровом учете объектов недвижимости может подать кадастровый инженер, если такая возможность предусмотрена договором подряда на выполнение кадастровых работ.</w:t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spacing w:after="0" w:line="312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Практика показывает, что именно отсутствие точно определенных границ является причиной большинства конфликтов между владельцами смежных земельных участков. Если межевание проведено, то в ЕГРН внесутся точные границы земельного участка. Таким образом землепо</w:t>
      </w:r>
      <w:r>
        <w:rPr>
          <w:rFonts w:ascii="Segoe UI" w:hAnsi="Segoe UI" w:cs="Segoe UI"/>
          <w:sz w:val="28"/>
          <w:szCs w:val="28"/>
        </w:rPr>
        <w:t xml:space="preserve">льзователи защитят свои права, а возникновение земельных споров сведется к минимуму.</w:t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Segoe UI" w:hAnsi="Segoe UI" w:cs="Segoe U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lang w:eastAsia="en-US"/>
          <w14:ligatures w14:val="none"/>
        </w:rPr>
      </w:r>
    </w:p>
    <w:p>
      <w:pPr>
        <w:ind w:firstLine="0"/>
        <w:jc w:val="both"/>
        <w:spacing w:line="240" w:lineRule="auto"/>
        <w:rPr>
          <w:rFonts w:ascii="Segoe UI" w:hAnsi="Segoe UI" w:cs="Segoe U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lang w:eastAsia="en-US"/>
          <w14:ligatures w14:val="none"/>
        </w:rPr>
      </w:r>
    </w:p>
    <w:p>
      <w:pPr>
        <w:ind w:firstLine="708"/>
        <w:jc w:val="both"/>
        <w:spacing w:after="0" w:line="312" w:lineRule="auto"/>
        <w:rPr>
          <w:rFonts w:ascii="Segoe UI" w:hAnsi="Segoe UI" w:eastAsia="Segoe UI" w:cs="Segoe UI"/>
          <w:highlight w:val="none"/>
        </w:rPr>
      </w:pPr>
      <w:r>
        <w:rPr>
          <w:rFonts w:ascii="Segoe UI" w:hAnsi="Segoe UI" w:eastAsia="Segoe UI" w:cs="Segoe UI"/>
        </w:rPr>
        <w:t xml:space="preserve">Об Управлении </w:t>
      </w:r>
      <w:r>
        <w:rPr>
          <w:rFonts w:ascii="Segoe UI" w:hAnsi="Segoe UI" w:eastAsia="Segoe UI" w:cs="Segoe UI"/>
        </w:rPr>
        <w:t xml:space="preserve">Росреестра</w:t>
      </w:r>
      <w:r>
        <w:rPr>
          <w:rFonts w:ascii="Segoe UI" w:hAnsi="Segoe UI" w:eastAsia="Segoe UI" w:cs="Segoe UI"/>
        </w:rPr>
        <w:t xml:space="preserve"> по Пермскому краю</w:t>
      </w: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  <w:highlight w:val="none"/>
        </w:rPr>
      </w:r>
    </w:p>
    <w:p>
      <w:pPr>
        <w:jc w:val="both"/>
        <w:spacing w:after="160" w:line="252" w:lineRule="auto"/>
        <w:widowControl w:val="off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sz w:val="18"/>
        </w:rPr>
        <w:t xml:space="preserve">Управление Федеральной службы государственной регистрации, кадастра и картографии (</w:t>
      </w:r>
      <w:r>
        <w:rPr>
          <w:rFonts w:ascii="Segoe UI" w:hAnsi="Segoe UI" w:eastAsia="Segoe UI" w:cs="Segoe UI"/>
          <w:sz w:val="18"/>
        </w:rPr>
        <w:t xml:space="preserve">Росреестр</w:t>
      </w:r>
      <w:r>
        <w:rPr>
          <w:rFonts w:ascii="Segoe UI" w:hAnsi="Segoe UI" w:eastAsia="Segoe UI" w:cs="Segoe UI"/>
          <w:sz w:val="18"/>
        </w:rPr>
        <w:t xml:space="preserve">) по Пермскому краю осуществляет функции по государственному кадастровому учету и государственн</w:t>
      </w:r>
      <w:r>
        <w:rPr>
          <w:rFonts w:ascii="Segoe UI" w:hAnsi="Segoe UI" w:eastAsia="Segoe UI" w:cs="Segoe UI"/>
          <w:sz w:val="18"/>
        </w:rPr>
        <w:t xml:space="preserve">ой регистрации прав на недвижимое имущество и сделок с ним, государственного мониторинга земель, государственному надзору в области геодезии, картографии и земельному надзору, надзору за деятельностью саморегулируемых организаций кадастровых инженеров и ар</w:t>
      </w:r>
      <w:r>
        <w:rPr>
          <w:rFonts w:ascii="Segoe UI" w:hAnsi="Segoe UI" w:eastAsia="Segoe UI" w:cs="Segoe UI"/>
          <w:sz w:val="18"/>
        </w:rPr>
        <w:t xml:space="preserve">битражных управляющих. Руководитель Управления </w:t>
      </w:r>
      <w:r>
        <w:rPr>
          <w:rFonts w:ascii="Segoe UI" w:hAnsi="Segoe UI" w:eastAsia="Segoe UI" w:cs="Segoe UI"/>
          <w:sz w:val="18"/>
        </w:rPr>
        <w:t xml:space="preserve">Росреестра</w:t>
      </w:r>
      <w:r>
        <w:rPr>
          <w:rFonts w:ascii="Segoe UI" w:hAnsi="Segoe UI" w:eastAsia="Segoe UI" w:cs="Segoe UI"/>
          <w:sz w:val="18"/>
        </w:rPr>
        <w:t xml:space="preserve"> по Пермскому краю – Лариса </w:t>
      </w:r>
      <w:r>
        <w:rPr>
          <w:rFonts w:ascii="Segoe UI" w:hAnsi="Segoe UI" w:eastAsia="Segoe UI" w:cs="Segoe UI"/>
          <w:sz w:val="18"/>
        </w:rPr>
        <w:t xml:space="preserve">Аржевитина</w:t>
      </w:r>
      <w:r>
        <w:rPr>
          <w:rFonts w:ascii="Segoe UI" w:hAnsi="Segoe UI" w:eastAsia="Segoe UI" w:cs="Segoe UI"/>
          <w:sz w:val="18"/>
        </w:rPr>
        <w:t xml:space="preserve">.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  <w:b/>
        </w:rPr>
      </w:pPr>
      <w:r>
        <w:rPr>
          <w:rFonts w:ascii="Segoe UI" w:hAnsi="Segoe UI" w:eastAsia="Segoe UI" w:cs="Segoe UI"/>
          <w:b/>
        </w:rPr>
        <w:t xml:space="preserve">Контакты для СМИ</w:t>
      </w:r>
      <w:r>
        <w:rPr>
          <w:rFonts w:ascii="Segoe UI" w:hAnsi="Segoe UI" w:eastAsia="Segoe UI" w:cs="Segoe UI"/>
          <w:b/>
        </w:rPr>
      </w:r>
      <w:r>
        <w:rPr>
          <w:rFonts w:ascii="Segoe UI" w:hAnsi="Segoe UI" w:eastAsia="Segoe UI" w:cs="Segoe UI"/>
          <w:b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Пресс-служба Управления Федеральной службы </w:t>
      </w:r>
      <w:r>
        <w:rPr>
          <w:rFonts w:ascii="Segoe UI" w:hAnsi="Segoe UI" w:eastAsia="Segoe UI" w:cs="Segoe UI"/>
          <w:color w:val="000000"/>
        </w:rPr>
        <w:br/>
        <w:t xml:space="preserve">государственной регистрации, кадастра и картографии (</w:t>
      </w:r>
      <w:r>
        <w:rPr>
          <w:rFonts w:ascii="Segoe UI" w:hAnsi="Segoe UI" w:eastAsia="Segoe UI" w:cs="Segoe UI"/>
          <w:color w:val="000000"/>
        </w:rPr>
        <w:t xml:space="preserve">Росреестр</w:t>
      </w:r>
      <w:r>
        <w:rPr>
          <w:rFonts w:ascii="Segoe UI" w:hAnsi="Segoe UI" w:eastAsia="Segoe UI" w:cs="Segoe UI"/>
          <w:color w:val="000000"/>
        </w:rPr>
        <w:t xml:space="preserve">) по Пермскому краю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+7 (342) 205-95-58 (доб. 3214, 3216, 3219)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614990, г. Пермь, ул. Ленина, д. 66/2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lang w:val="en-US"/>
        </w:rPr>
        <w:t xml:space="preserve">press</w:t>
      </w:r>
      <w:r>
        <w:rPr>
          <w:rFonts w:ascii="Segoe UI" w:hAnsi="Segoe UI" w:eastAsia="Segoe UI" w:cs="Segoe UI"/>
        </w:rPr>
        <w:t xml:space="preserve">@</w:t>
      </w:r>
      <w:r>
        <w:rPr>
          <w:rFonts w:ascii="Segoe UI" w:hAnsi="Segoe UI" w:eastAsia="Segoe UI" w:cs="Segoe UI"/>
          <w:lang w:val="en-US"/>
        </w:rPr>
        <w:t xml:space="preserve">r</w:t>
      </w:r>
      <w:r>
        <w:rPr>
          <w:rFonts w:ascii="Segoe UI" w:hAnsi="Segoe UI" w:eastAsia="Segoe UI" w:cs="Segoe UI"/>
        </w:rPr>
        <w:t xml:space="preserve">59.</w:t>
      </w:r>
      <w:r>
        <w:rPr>
          <w:rFonts w:ascii="Segoe UI" w:hAnsi="Segoe UI" w:eastAsia="Segoe UI" w:cs="Segoe UI"/>
          <w:lang w:val="en-US"/>
        </w:rPr>
        <w:t xml:space="preserve">rosreestr</w:t>
      </w:r>
      <w:r>
        <w:rPr>
          <w:rFonts w:ascii="Segoe UI" w:hAnsi="Segoe UI" w:eastAsia="Segoe UI" w:cs="Segoe UI"/>
        </w:rPr>
        <w:t xml:space="preserve">.</w:t>
      </w:r>
      <w:r>
        <w:rPr>
          <w:rFonts w:ascii="Segoe UI" w:hAnsi="Segoe UI" w:eastAsia="Segoe UI" w:cs="Segoe UI"/>
          <w:lang w:val="en-US"/>
        </w:rPr>
        <w:t xml:space="preserve">ru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/>
      <w:hyperlink r:id="rId10" w:tooltip="http://rosreestr.gov.ru/" w:history="1">
        <w:r>
          <w:rPr>
            <w:rFonts w:ascii="Segoe UI" w:hAnsi="Segoe UI" w:eastAsia="Segoe UI" w:cs="Segoe UI"/>
            <w:b/>
            <w:color w:val="0000ff"/>
            <w:u w:val="single"/>
          </w:rPr>
          <w:t xml:space="preserve">http://rosreestr.gov.ru/</w:t>
        </w:r>
      </w:hyperlink>
      <w:r>
        <w:rPr>
          <w:rFonts w:ascii="Segoe UI" w:hAnsi="Segoe UI" w:eastAsia="Segoe UI" w:cs="Segoe UI"/>
          <w:b/>
          <w:color w:val="0070c0"/>
        </w:rPr>
        <w:t xml:space="preserve"> </w: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tbl>
      <w:tblPr>
        <w:tblStyle w:val="874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>
        <w:tblPrEx/>
        <w:trPr>
          <w:trHeight w:val="1189"/>
        </w:trPr>
        <w:tc>
          <w:tcPr>
            <w:tcW w:w="5211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ВКонтакте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https://vk.com/rosreestr_59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Телеграм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  <w:lang w:val="en-US"/>
              </w:rPr>
              <w:t xml:space="preserve">h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ttps://t.me/rosreestr_59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184150</wp:posOffset>
                </wp:positionV>
                <wp:extent cx="1047750" cy="1310005"/>
                <wp:effectExtent l="0" t="0" r="0" b="4445"/>
                <wp:wrapNone/>
                <wp:docPr id="2" name="Рисунок 5" descr="C:\Users\Делидова_НА\Desktop\e9eabf075413c1402d75d5feecfade4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Делидова_НА\Desktop\e9eabf075413c1402d75d5feecfade4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47750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6704;o:allowoverlap:true;o:allowincell:true;mso-position-horizontal-relative:text;margin-left:334.20pt;mso-position-horizontal:absolute;mso-position-vertical-relative:text;margin-top:14.50pt;mso-position-vertical:absolute;width:82.50pt;height:103.1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-1270</wp:posOffset>
                </wp:positionV>
                <wp:extent cx="1057275" cy="1299845"/>
                <wp:effectExtent l="0" t="0" r="9525" b="0"/>
                <wp:wrapNone/>
                <wp:docPr id="3" name="Рисунок 2" descr="H:\НОМЕНКЛАТУРА\Номенклатура на 2022 год\6-11 Документы по работе с общественностью и СМИ\НОВЫЕ QR-КОДЫ_НАШИ\В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5727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7728;o:allowoverlap:true;o:allowincell:true;mso-position-horizontal-relative:text;margin-left:82.05pt;mso-position-horizontal:absolute;mso-position-vertical-relative:text;margin-top:-0.10pt;mso-position-vertical:absolute;width:83.25pt;height:102.3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tbl>
      <w:tblPr>
        <w:tblStyle w:val="874"/>
        <w:tblW w:w="10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>
        <w:tblPrEx/>
        <w:trPr>
          <w:trHeight w:val="1052"/>
        </w:trPr>
        <w:tc>
          <w:tcPr>
            <w:tcW w:w="3977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Одноклассники: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https://ok.ru/rosreestr59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6182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Рутуб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https://rutube.ru/channel/30420290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1043305" cy="1304925"/>
                <wp:effectExtent l="0" t="0" r="4445" b="9525"/>
                <wp:wrapSquare wrapText="bothSides"/>
                <wp:docPr id="4" name="Рисунок 1" descr="C:\Users\Пономарева_СА\AppData\Local\Microsoft\Windows\Temporary Internet Files\Content.Word\QR_код РУТУ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ономарева_СА\AppData\Local\Microsoft\Windows\Temporary Internet Files\Content.Word\QR_код РУТУ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4330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8752;o:allowoverlap:true;o:allowincell:true;mso-position-horizontal-relative:text;margin-left:342.75pt;mso-position-horizontal:absolute;mso-position-vertical-relative:text;margin-top:21.75pt;mso-position-vertical:absolute;width:82.15pt;height:102.75pt;mso-wrap-distance-left:9.00pt;mso-wrap-distance-top:0.00pt;mso-wrap-distance-right:9.00pt;mso-wrap-distance-bottom:0.00pt;" stroked="f">
                <v:path textboxrect="0,0,0,0"/>
                <w10:wrap type="square"/>
                <v:imagedata r:id="rId13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276225</wp:posOffset>
                </wp:positionV>
                <wp:extent cx="1043460" cy="1304925"/>
                <wp:effectExtent l="0" t="0" r="4445" b="0"/>
                <wp:wrapNone/>
                <wp:docPr id="5" name="Рисунок 3" descr="H:\НОМЕНКЛАТУРА\Номенклатура на 2022 год\6-11 Документы по работе с общественностью и СМИ\НОВЫЕ QR-КОДЫ_НАШИ\Одноклассник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44420" cy="130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5680;o:allowoverlap:true;o:allowincell:true;mso-position-horizontal-relative:text;margin-left:90.75pt;mso-position-horizontal:absolute;mso-position-vertical-relative:text;margin-top:21.75pt;mso-position-vertical:absolute;width:82.16pt;height:102.7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MT">
    <w:panose1 w:val="02000603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701"/>
    <w:link w:val="693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701"/>
    <w:link w:val="714"/>
    <w:uiPriority w:val="10"/>
    <w:rPr>
      <w:sz w:val="48"/>
      <w:szCs w:val="48"/>
    </w:rPr>
  </w:style>
  <w:style w:type="character" w:styleId="684">
    <w:name w:val="Subtitle Char"/>
    <w:basedOn w:val="701"/>
    <w:link w:val="716"/>
    <w:uiPriority w:val="11"/>
    <w:rPr>
      <w:sz w:val="24"/>
      <w:szCs w:val="24"/>
    </w:rPr>
  </w:style>
  <w:style w:type="character" w:styleId="685">
    <w:name w:val="Quote Char"/>
    <w:link w:val="718"/>
    <w:uiPriority w:val="29"/>
    <w:rPr>
      <w:i/>
    </w:rPr>
  </w:style>
  <w:style w:type="character" w:styleId="686">
    <w:name w:val="Intense Quote Char"/>
    <w:link w:val="720"/>
    <w:uiPriority w:val="30"/>
    <w:rPr>
      <w:i/>
    </w:rPr>
  </w:style>
  <w:style w:type="character" w:styleId="687">
    <w:name w:val="Header Char"/>
    <w:basedOn w:val="701"/>
    <w:link w:val="722"/>
    <w:uiPriority w:val="99"/>
  </w:style>
  <w:style w:type="character" w:styleId="688">
    <w:name w:val="Caption Char"/>
    <w:basedOn w:val="726"/>
    <w:link w:val="724"/>
    <w:uiPriority w:val="99"/>
  </w:style>
  <w:style w:type="character" w:styleId="689">
    <w:name w:val="Footnote Text Char"/>
    <w:link w:val="853"/>
    <w:uiPriority w:val="99"/>
    <w:rPr>
      <w:sz w:val="18"/>
    </w:rPr>
  </w:style>
  <w:style w:type="character" w:styleId="690">
    <w:name w:val="Endnote Text Char"/>
    <w:link w:val="856"/>
    <w:uiPriority w:val="99"/>
    <w:rPr>
      <w:sz w:val="20"/>
    </w:rPr>
  </w:style>
  <w:style w:type="paragraph" w:styleId="691" w:default="1">
    <w:name w:val="Normal"/>
    <w:qFormat/>
  </w:style>
  <w:style w:type="paragraph" w:styleId="692">
    <w:name w:val="Heading 1"/>
    <w:basedOn w:val="691"/>
    <w:next w:val="691"/>
    <w:link w:val="70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0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0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1"/>
    <w:next w:val="691"/>
    <w:link w:val="715"/>
    <w:uiPriority w:val="10"/>
    <w:qFormat/>
    <w:pPr>
      <w:contextualSpacing/>
      <w:spacing w:before="300"/>
    </w:pPr>
    <w:rPr>
      <w:sz w:val="48"/>
      <w:szCs w:val="48"/>
    </w:rPr>
  </w:style>
  <w:style w:type="character" w:styleId="715" w:customStyle="1">
    <w:name w:val="Название Знак"/>
    <w:basedOn w:val="701"/>
    <w:link w:val="714"/>
    <w:uiPriority w:val="10"/>
    <w:rPr>
      <w:sz w:val="48"/>
      <w:szCs w:val="48"/>
    </w:rPr>
  </w:style>
  <w:style w:type="paragraph" w:styleId="716">
    <w:name w:val="Subtitle"/>
    <w:basedOn w:val="691"/>
    <w:next w:val="691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basedOn w:val="701"/>
    <w:link w:val="716"/>
    <w:uiPriority w:val="11"/>
    <w:rPr>
      <w:sz w:val="24"/>
      <w:szCs w:val="24"/>
    </w:rPr>
  </w:style>
  <w:style w:type="paragraph" w:styleId="718">
    <w:name w:val="Quote"/>
    <w:basedOn w:val="691"/>
    <w:next w:val="691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1"/>
    <w:next w:val="691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1"/>
    <w:link w:val="722"/>
    <w:uiPriority w:val="99"/>
  </w:style>
  <w:style w:type="paragraph" w:styleId="724">
    <w:name w:val="Footer"/>
    <w:basedOn w:val="691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1"/>
    <w:uiPriority w:val="99"/>
  </w:style>
  <w:style w:type="paragraph" w:styleId="726">
    <w:name w:val="Caption"/>
    <w:basedOn w:val="691"/>
    <w:next w:val="69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 w:customStyle="1">
    <w:name w:val="Table Grid Light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 w:customStyle="1">
    <w:name w:val="Plain Table 1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2"/>
    <w:basedOn w:val="7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 w:customStyle="1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 w:customStyle="1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ned - Accent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3">
    <w:name w:val="footnote text"/>
    <w:basedOn w:val="691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701"/>
    <w:uiPriority w:val="99"/>
    <w:unhideWhenUsed/>
    <w:rPr>
      <w:vertAlign w:val="superscript"/>
    </w:rPr>
  </w:style>
  <w:style w:type="paragraph" w:styleId="856">
    <w:name w:val="endnote text"/>
    <w:basedOn w:val="69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1"/>
    <w:uiPriority w:val="99"/>
    <w:semiHidden/>
    <w:unhideWhenUsed/>
    <w:rPr>
      <w:vertAlign w:val="superscript"/>
    </w:rPr>
  </w:style>
  <w:style w:type="paragraph" w:styleId="859">
    <w:name w:val="toc 1"/>
    <w:basedOn w:val="691"/>
    <w:next w:val="691"/>
    <w:uiPriority w:val="39"/>
    <w:unhideWhenUsed/>
    <w:pPr>
      <w:spacing w:after="57"/>
    </w:pPr>
  </w:style>
  <w:style w:type="paragraph" w:styleId="860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1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2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3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4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5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6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7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1"/>
    <w:next w:val="691"/>
    <w:uiPriority w:val="99"/>
    <w:unhideWhenUsed/>
    <w:pPr>
      <w:spacing w:after="0"/>
    </w:pPr>
  </w:style>
  <w:style w:type="paragraph" w:styleId="870">
    <w:name w:val="List Paragraph"/>
    <w:basedOn w:val="691"/>
    <w:uiPriority w:val="34"/>
    <w:qFormat/>
    <w:pPr>
      <w:contextualSpacing/>
      <w:ind w:left="720"/>
    </w:pPr>
  </w:style>
  <w:style w:type="paragraph" w:styleId="871">
    <w:name w:val="Balloon Text"/>
    <w:basedOn w:val="691"/>
    <w:link w:val="87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701"/>
    <w:link w:val="871"/>
    <w:uiPriority w:val="99"/>
    <w:semiHidden/>
    <w:rPr>
      <w:rFonts w:ascii="Segoe UI" w:hAnsi="Segoe UI" w:cs="Segoe UI"/>
      <w:sz w:val="18"/>
      <w:szCs w:val="18"/>
    </w:rPr>
  </w:style>
  <w:style w:type="character" w:styleId="873">
    <w:name w:val="Hyperlink"/>
    <w:basedOn w:val="701"/>
    <w:uiPriority w:val="99"/>
    <w:unhideWhenUsed/>
    <w:rPr>
      <w:color w:val="0000ff" w:themeColor="hyperlink"/>
      <w:u w:val="single"/>
    </w:rPr>
  </w:style>
  <w:style w:type="table" w:styleId="874">
    <w:name w:val="Table Grid"/>
    <w:basedOn w:val="70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5" w:customStyle="1">
    <w:name w:val="Сетка таблицы1"/>
    <w:basedOn w:val="702"/>
    <w:next w:val="874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6">
    <w:name w:val="Body Text"/>
    <w:basedOn w:val="691"/>
    <w:link w:val="877"/>
    <w:uiPriority w:val="99"/>
    <w:unhideWhenUsed/>
    <w:pPr>
      <w:ind w:firstLine="720"/>
      <w:jc w:val="both"/>
      <w:spacing w:after="0" w:line="360" w:lineRule="exact"/>
    </w:pPr>
    <w:rPr>
      <w:rFonts w:ascii="Times New Roman" w:hAnsi="Times New Roman" w:eastAsia="Times New Roman" w:cs="Times New Roman"/>
      <w:sz w:val="28"/>
      <w:szCs w:val="20"/>
    </w:rPr>
  </w:style>
  <w:style w:type="character" w:styleId="877" w:customStyle="1">
    <w:name w:val="Основной текст Знак"/>
    <w:basedOn w:val="701"/>
    <w:link w:val="876"/>
    <w:uiPriority w:val="99"/>
    <w:rPr>
      <w:rFonts w:ascii="Times New Roman" w:hAnsi="Times New Roman" w:eastAsia="Times New Roman" w:cs="Times New Roman"/>
      <w:sz w:val="28"/>
      <w:szCs w:val="20"/>
    </w:rPr>
  </w:style>
  <w:style w:type="character" w:styleId="878" w:customStyle="1">
    <w:name w:val="fontstyle01"/>
    <w:rPr>
      <w:rFonts w:ascii="ArialMT" w:hAnsi="ArialMT"/>
      <w:b w:val="0"/>
      <w:bCs w:val="0"/>
      <w:i w:val="0"/>
      <w:iCs w:val="0"/>
      <w:color w:val="008cf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rosreestr.gov.ru/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Kraftway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revision>22</cp:revision>
  <dcterms:created xsi:type="dcterms:W3CDTF">2024-12-02T13:43:00Z</dcterms:created>
  <dcterms:modified xsi:type="dcterms:W3CDTF">2026-02-16T12:58:16Z</dcterms:modified>
</cp:coreProperties>
</file>