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42" w:rsidRPr="002E6815" w:rsidRDefault="002E6815">
      <w:pPr>
        <w:pStyle w:val="a5"/>
        <w:ind w:firstLine="0"/>
        <w:rPr>
          <w:rFonts w:eastAsiaTheme="minorEastAsia" w:hint="eastAsia"/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3238500</wp:posOffset>
                </wp:positionV>
                <wp:extent cx="2660015" cy="881380"/>
                <wp:effectExtent l="0" t="0" r="6985" b="1397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4342" w:rsidRDefault="002E6815">
                            <w:pPr>
                              <w:pStyle w:val="a9"/>
                            </w:pPr>
                            <w:r>
                              <w:t xml:space="preserve">Об определении гарантирующих организаций в сфере водоснабжения на территории населённых пунктов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5pt;width:209.45pt;height:69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" filled="f" stroked="f">
                <v:textbox inset="0,0,0,0">
                  <w:txbxContent>
                    <w:p w:rsidR="00324342" w:rsidRDefault="002E6815">
                      <w:pPr>
                        <w:pStyle w:val="a9"/>
                      </w:pPr>
                      <w:r>
                        <w:t xml:space="preserve">Об определении гарантирующих организаций в сфере водоснабжения на территории населённых пунктов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lang w:val="ru-RU"/>
        </w:rPr>
        <w:t xml:space="preserve">    </w:t>
      </w:r>
      <w:bookmarkStart w:id="0" w:name="_GoBack"/>
      <w:bookmarkEnd w:id="0"/>
      <w:r w:rsidRPr="002E6815">
        <w:rPr>
          <w:rFonts w:eastAsiaTheme="minorEastAsia"/>
          <w:b/>
          <w:lang w:val="ru-RU"/>
        </w:rPr>
        <w:t>02.03.2026    259-01-01-02-46</w:t>
      </w:r>
    </w:p>
    <w:p w:rsidR="00324342" w:rsidRDefault="002E6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г. № 131-ФЗ «Об общих принципах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пунктом 2 части 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7 декабря 2011 г. № 416-ФЗ «О водоснабжении и водоотведении», с целью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надежного и бесперебойного водоснабжения на территории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24342" w:rsidRDefault="002E6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4342" w:rsidRDefault="002E6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Наделить статусом гарантирующей организации для централизованной системы холодного</w:t>
      </w:r>
      <w:r>
        <w:rPr>
          <w:rFonts w:ascii="Times New Roman" w:hAnsi="Times New Roman" w:cs="Times New Roman"/>
          <w:sz w:val="28"/>
          <w:szCs w:val="28"/>
        </w:rPr>
        <w:t xml:space="preserve"> водоснабжения на территории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Воскресенское,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Барсаи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Иштеряки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Красногорка, д. Телес,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Суда,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Чайка, с. Верхний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Большой Ась, д. Малая Аспа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унитарное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адрес: 617520, Пермский край,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Кирова, д. 3.</w:t>
      </w:r>
    </w:p>
    <w:p w:rsidR="00324342" w:rsidRDefault="002E6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зоны деятельности гарантирующей организации для централизованной системы холодного водоснабжения в границах комплекса технологически связанных </w:t>
      </w:r>
      <w:r>
        <w:rPr>
          <w:rFonts w:ascii="Times New Roman" w:hAnsi="Times New Roman" w:cs="Times New Roman"/>
          <w:sz w:val="28"/>
          <w:szCs w:val="28"/>
        </w:rPr>
        <w:t xml:space="preserve">между собой инженерных сооружений, предназначенных для водоподготовки, транспортировки и подачи питьевой и (или) технической воды, к которым присоединены объекты капитального строительства абонентов на территории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Воскресенское,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Барсаи</w:t>
      </w:r>
      <w:proofErr w:type="spellEnd"/>
      <w:r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Иштеряки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Красногорка, д. Телес,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Суда,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Чайка, с. Верхний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Большой Ась, д. Малая Аспа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342" w:rsidRDefault="002E6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Наделить статусом гарантирующей организации для централизованной системы холодного водоснабжения на территории с. Аспа Общество </w:t>
      </w:r>
      <w:r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«СТЭК», адрес: 617520, Пермский край,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30 лет Победы, д. 2.</w:t>
      </w:r>
    </w:p>
    <w:p w:rsidR="00324342" w:rsidRDefault="002E6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Установить зоны деятельности гарантирующей организации для централизованной системы холодного водоснабжения в границах комплекса технологически связа</w:t>
      </w:r>
      <w:r>
        <w:rPr>
          <w:rFonts w:ascii="Times New Roman" w:hAnsi="Times New Roman" w:cs="Times New Roman"/>
          <w:sz w:val="28"/>
          <w:szCs w:val="28"/>
        </w:rPr>
        <w:t>нных между собой инженерных сооружений, предназначенных для водоподготовки, транспортировки и подачи питьевой и (или) технической воды, к которым присоединены объекты капитального строительства абонентов на территории с. Аспа.</w:t>
      </w:r>
    </w:p>
    <w:p w:rsidR="00324342" w:rsidRDefault="002E6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21.04.2023</w:t>
      </w:r>
      <w:r>
        <w:rPr>
          <w:rFonts w:ascii="Times New Roman" w:hAnsi="Times New Roman" w:cs="Times New Roman"/>
          <w:sz w:val="28"/>
          <w:szCs w:val="28"/>
        </w:rPr>
        <w:t xml:space="preserve"> № 259-01-03-</w:t>
      </w:r>
      <w:r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 «Об определении гарантирующих организаций в сфере водоснабжения на территории населённых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округа».</w:t>
      </w:r>
    </w:p>
    <w:p w:rsidR="00324342" w:rsidRDefault="002E6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</w:t>
      </w:r>
      <w:r>
        <w:rPr>
          <w:rFonts w:ascii="Times New Roman" w:hAnsi="Times New Roman" w:cs="Times New Roman"/>
          <w:sz w:val="28"/>
          <w:szCs w:val="28"/>
        </w:rPr>
        <w:t>силу с</w:t>
      </w:r>
      <w:r>
        <w:rPr>
          <w:rFonts w:ascii="Times New Roman" w:hAnsi="Times New Roman" w:cs="Times New Roman"/>
          <w:sz w:val="28"/>
          <w:szCs w:val="28"/>
        </w:rPr>
        <w:t xml:space="preserve"> даты размещения в сетевом издании -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Пермского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 (http://uinsk.ru).</w:t>
      </w:r>
    </w:p>
    <w:p w:rsidR="00324342" w:rsidRDefault="002E68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sz w:val="28"/>
          <w:szCs w:val="28"/>
        </w:rPr>
        <w:t>ного округа.</w:t>
      </w:r>
    </w:p>
    <w:p w:rsidR="00324342" w:rsidRDefault="00324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42" w:rsidRDefault="00324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342" w:rsidRDefault="002E6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324342" w:rsidRDefault="002E6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</w:p>
    <w:p w:rsidR="00324342" w:rsidRDefault="002E6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:rsidR="00324342" w:rsidRDefault="003243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4342" w:rsidRDefault="003243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4342" w:rsidRDefault="00324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342" w:rsidRDefault="00324342">
      <w:pPr>
        <w:pStyle w:val="a5"/>
        <w:rPr>
          <w:szCs w:val="28"/>
          <w:lang w:val="ru-RU"/>
        </w:rPr>
      </w:pPr>
    </w:p>
    <w:p w:rsidR="00324342" w:rsidRDefault="00324342">
      <w:pPr>
        <w:pStyle w:val="a5"/>
        <w:ind w:firstLine="0"/>
      </w:pPr>
    </w:p>
    <w:p w:rsidR="00324342" w:rsidRDefault="002E68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9742170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4342" w:rsidRDefault="00324342">
                            <w:pPr>
                              <w:pStyle w:val="ab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81.85pt;margin-top:767.1pt;width:266.4pt;height:29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ZG6wEAAL4DAAAOAAAAZHJzL2Uyb0RvYy54bWysU9tu2zAMfR+wfxD0vjiXrg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" filled="f" stroked="f">
                <v:textbox inset="0,0,0,0">
                  <w:txbxContent>
                    <w:p w:rsidR="00324342" w:rsidRDefault="00324342">
                      <w:pPr>
                        <w:pStyle w:val="ab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24342">
      <w:footerReference w:type="default" r:id="rId12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6815">
      <w:r>
        <w:separator/>
      </w:r>
    </w:p>
  </w:endnote>
  <w:endnote w:type="continuationSeparator" w:id="0">
    <w:p w:rsidR="00000000" w:rsidRDefault="002E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342" w:rsidRDefault="002E6815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6815">
      <w:r>
        <w:separator/>
      </w:r>
    </w:p>
  </w:footnote>
  <w:footnote w:type="continuationSeparator" w:id="0">
    <w:p w:rsidR="00000000" w:rsidRDefault="002E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D02CD"/>
    <w:rsid w:val="00291D18"/>
    <w:rsid w:val="002C37BB"/>
    <w:rsid w:val="002E395F"/>
    <w:rsid w:val="002E6815"/>
    <w:rsid w:val="00324342"/>
    <w:rsid w:val="00344940"/>
    <w:rsid w:val="00470FB3"/>
    <w:rsid w:val="00482A25"/>
    <w:rsid w:val="00502F9B"/>
    <w:rsid w:val="00507D4F"/>
    <w:rsid w:val="00536FED"/>
    <w:rsid w:val="00580324"/>
    <w:rsid w:val="005B7C2C"/>
    <w:rsid w:val="006155F3"/>
    <w:rsid w:val="00637B08"/>
    <w:rsid w:val="0066436B"/>
    <w:rsid w:val="0070799D"/>
    <w:rsid w:val="0078616F"/>
    <w:rsid w:val="007E4ADC"/>
    <w:rsid w:val="008155BB"/>
    <w:rsid w:val="0081735F"/>
    <w:rsid w:val="00817ACA"/>
    <w:rsid w:val="008B1016"/>
    <w:rsid w:val="008D16CB"/>
    <w:rsid w:val="009169CE"/>
    <w:rsid w:val="00997F4C"/>
    <w:rsid w:val="00A6484B"/>
    <w:rsid w:val="00B1278C"/>
    <w:rsid w:val="00BB0CD5"/>
    <w:rsid w:val="00BB6EA3"/>
    <w:rsid w:val="00BE7EE4"/>
    <w:rsid w:val="00C80448"/>
    <w:rsid w:val="00E208D5"/>
    <w:rsid w:val="00E55D54"/>
    <w:rsid w:val="00EB54EA"/>
    <w:rsid w:val="00FA0882"/>
    <w:rsid w:val="00FC1030"/>
    <w:rsid w:val="00FF15F3"/>
    <w:rsid w:val="31CE42C2"/>
    <w:rsid w:val="48345694"/>
    <w:rsid w:val="66C83570"/>
    <w:rsid w:val="6EA3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BFEB75"/>
  <w15:docId w15:val="{762B5594-A06A-4165-91FE-A6105097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pPr>
      <w:spacing w:line="360" w:lineRule="exact"/>
      <w:ind w:firstLine="709"/>
      <w:jc w:val="both"/>
    </w:pPr>
    <w:rPr>
      <w:sz w:val="28"/>
      <w:lang w:val="zh-CN" w:eastAsia="zh-CN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sz w:val="28"/>
      <w:szCs w:val="20"/>
      <w:lang w:val="zh-CN" w:eastAsia="zh-CN"/>
    </w:rPr>
  </w:style>
  <w:style w:type="paragraph" w:customStyle="1" w:styleId="a9">
    <w:name w:val="Заголовок к тексту"/>
    <w:basedOn w:val="a"/>
    <w:next w:val="a5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a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b">
    <w:name w:val="Исполнитель"/>
    <w:basedOn w:val="a5"/>
    <w:pPr>
      <w:suppressAutoHyphens/>
      <w:spacing w:line="240" w:lineRule="exact"/>
    </w:pPr>
    <w:rPr>
      <w:szCs w:val="20"/>
    </w:rPr>
  </w:style>
  <w:style w:type="character" w:customStyle="1" w:styleId="a8">
    <w:name w:val="Нижний колонтитул Знак"/>
    <w:link w:val="a7"/>
    <w:qFormat/>
    <w:rPr>
      <w:sz w:val="28"/>
    </w:rPr>
  </w:style>
  <w:style w:type="character" w:customStyle="1" w:styleId="a6">
    <w:name w:val="Основной текст Знак"/>
    <w:link w:val="a5"/>
    <w:qFormat/>
    <w:rPr>
      <w:sz w:val="28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4E98898A322ED0F294687BB9A1242B4C562B7E9787DEBDF30E116DA066B22DF4A5C3F4A9A565617936AE80F33D03130D53DC94BBE04092xAK9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34E98898A322ED0F294687BB9A1242B4C562B7E9787DEBDF30E116DA066B22DF4A5C3F4A9A565647E36AE80F33D03130D53DC94BBE04092xAK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4E98898A322ED0F294687BB9A1242B4C562B7F9E89DEBDF30E116DA066B22DF4A5C3F4A9A565607A36AE80F33D03130D53DC94BBE04092xAK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2411-12-31T18:59:00Z</cp:lastPrinted>
  <dcterms:created xsi:type="dcterms:W3CDTF">2026-03-02T04:46:00Z</dcterms:created>
  <dcterms:modified xsi:type="dcterms:W3CDTF">2026-03-02T04:46:00Z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1049-12.2.0.23196</vt:lpwstr>
  </property>
  <property fmtid="{D5CDD505-2E9C-101B-9397-08002B2CF9AE}" pid="9" name="ICV">
    <vt:lpwstr>38CA02C4B2814E25ADCC58716AB74C7C_13</vt:lpwstr>
  </property>
</Properties>
</file>